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BE059B">
      <w:pPr>
        <w:jc w:val="center"/>
        <w:rPr>
          <w:rFonts w:ascii="宋体" w:eastAsia="宋体" w:hAnsi="宋体"/>
          <w:b/>
          <w:sz w:val="44"/>
          <w:szCs w:val="44"/>
        </w:rPr>
      </w:pPr>
      <w:r>
        <w:rPr>
          <w:rFonts w:ascii="宋体" w:eastAsia="宋体" w:hAnsi="宋体" w:hint="eastAsia"/>
          <w:b/>
          <w:sz w:val="44"/>
          <w:szCs w:val="44"/>
        </w:rPr>
        <w:t>墙体板材行业绿色工厂评价要求</w:t>
      </w:r>
    </w:p>
    <w:p w:rsidR="00DF158F" w:rsidRDefault="00DF158F">
      <w:pPr>
        <w:jc w:val="center"/>
        <w:rPr>
          <w:rFonts w:ascii="宋体" w:eastAsia="宋体" w:hAnsi="宋体"/>
          <w:sz w:val="36"/>
          <w:szCs w:val="36"/>
        </w:rPr>
      </w:pPr>
    </w:p>
    <w:p w:rsidR="00DF158F" w:rsidRDefault="00DF158F">
      <w:pPr>
        <w:jc w:val="center"/>
        <w:rPr>
          <w:rFonts w:ascii="宋体" w:eastAsia="宋体" w:hAnsi="宋体"/>
          <w:sz w:val="36"/>
          <w:szCs w:val="36"/>
        </w:rPr>
      </w:pPr>
    </w:p>
    <w:p w:rsidR="00DF158F" w:rsidRDefault="00DF158F">
      <w:pPr>
        <w:jc w:val="center"/>
        <w:rPr>
          <w:rFonts w:ascii="宋体" w:eastAsia="宋体" w:hAnsi="宋体"/>
          <w:sz w:val="36"/>
          <w:szCs w:val="36"/>
        </w:rPr>
      </w:pPr>
    </w:p>
    <w:p w:rsidR="00DF158F" w:rsidRDefault="00BE059B">
      <w:pPr>
        <w:jc w:val="center"/>
        <w:rPr>
          <w:rFonts w:ascii="宋体" w:eastAsia="宋体" w:hAnsi="宋体"/>
          <w:b/>
          <w:sz w:val="44"/>
          <w:szCs w:val="44"/>
        </w:rPr>
      </w:pPr>
      <w:r>
        <w:rPr>
          <w:rFonts w:ascii="宋体" w:eastAsia="宋体" w:hAnsi="宋体" w:hint="eastAsia"/>
          <w:b/>
          <w:sz w:val="44"/>
          <w:szCs w:val="44"/>
        </w:rPr>
        <w:t>标准编制说明</w:t>
      </w:r>
    </w:p>
    <w:p w:rsidR="00DF158F" w:rsidRDefault="00BE059B">
      <w:pPr>
        <w:jc w:val="center"/>
        <w:rPr>
          <w:rFonts w:ascii="宋体" w:eastAsia="宋体" w:hAnsi="宋体"/>
          <w:b/>
          <w:sz w:val="28"/>
          <w:szCs w:val="28"/>
        </w:rPr>
      </w:pPr>
      <w:r>
        <w:rPr>
          <w:rFonts w:ascii="宋体" w:eastAsia="宋体" w:hAnsi="宋体"/>
          <w:b/>
          <w:sz w:val="28"/>
          <w:szCs w:val="28"/>
        </w:rPr>
        <w:t>（</w:t>
      </w:r>
      <w:r>
        <w:rPr>
          <w:rFonts w:ascii="宋体" w:eastAsia="宋体" w:hAnsi="宋体" w:hint="eastAsia"/>
          <w:b/>
          <w:sz w:val="28"/>
          <w:szCs w:val="28"/>
        </w:rPr>
        <w:t>征求意见</w:t>
      </w:r>
      <w:r>
        <w:rPr>
          <w:rFonts w:ascii="宋体" w:eastAsia="宋体" w:hAnsi="宋体"/>
          <w:b/>
          <w:sz w:val="28"/>
          <w:szCs w:val="28"/>
        </w:rPr>
        <w:t>稿）</w:t>
      </w: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DF158F">
      <w:pPr>
        <w:jc w:val="center"/>
        <w:rPr>
          <w:rFonts w:ascii="宋体" w:eastAsia="宋体" w:hAnsi="宋体"/>
          <w:b/>
          <w:sz w:val="44"/>
          <w:szCs w:val="44"/>
        </w:rPr>
      </w:pPr>
    </w:p>
    <w:p w:rsidR="00DF158F" w:rsidRDefault="00BE059B">
      <w:pPr>
        <w:jc w:val="center"/>
        <w:rPr>
          <w:rFonts w:ascii="黑体" w:eastAsia="黑体" w:hAnsi="黑体"/>
          <w:b/>
          <w:sz w:val="30"/>
          <w:szCs w:val="30"/>
        </w:rPr>
      </w:pPr>
      <w:r>
        <w:rPr>
          <w:rFonts w:ascii="黑体" w:eastAsia="黑体" w:hAnsi="黑体" w:hint="eastAsia"/>
          <w:b/>
          <w:sz w:val="30"/>
          <w:szCs w:val="30"/>
        </w:rPr>
        <w:t>标准编制组</w:t>
      </w:r>
    </w:p>
    <w:p w:rsidR="00DF158F" w:rsidRDefault="00BE059B">
      <w:pPr>
        <w:jc w:val="center"/>
        <w:rPr>
          <w:rFonts w:ascii="黑体" w:eastAsia="黑体" w:hAnsi="黑体"/>
          <w:b/>
          <w:sz w:val="30"/>
          <w:szCs w:val="30"/>
        </w:rPr>
      </w:pPr>
      <w:r>
        <w:rPr>
          <w:rFonts w:ascii="黑体" w:eastAsia="黑体" w:hAnsi="黑体" w:hint="eastAsia"/>
          <w:b/>
          <w:sz w:val="30"/>
          <w:szCs w:val="30"/>
        </w:rPr>
        <w:t>2020年7月</w:t>
      </w:r>
    </w:p>
    <w:p w:rsidR="00DF158F" w:rsidRDefault="00BE059B">
      <w:pPr>
        <w:widowControl/>
        <w:jc w:val="left"/>
        <w:rPr>
          <w:rFonts w:ascii="宋体" w:eastAsia="宋体" w:hAnsi="宋体"/>
          <w:sz w:val="36"/>
          <w:szCs w:val="36"/>
        </w:rPr>
        <w:sectPr w:rsidR="00DF158F">
          <w:footerReference w:type="default" r:id="rId9"/>
          <w:pgSz w:w="11906" w:h="16838"/>
          <w:pgMar w:top="1440" w:right="1800" w:bottom="1440" w:left="1800" w:header="851" w:footer="992" w:gutter="0"/>
          <w:cols w:space="425"/>
          <w:docGrid w:type="lines" w:linePitch="312"/>
        </w:sectPr>
      </w:pPr>
      <w:r>
        <w:rPr>
          <w:rFonts w:ascii="宋体" w:eastAsia="宋体" w:hAnsi="宋体"/>
          <w:sz w:val="36"/>
          <w:szCs w:val="36"/>
        </w:rPr>
        <w:br w:type="page"/>
      </w:r>
    </w:p>
    <w:p w:rsidR="00DF158F" w:rsidRDefault="00BE059B" w:rsidP="00045C03">
      <w:pPr>
        <w:pStyle w:val="1"/>
        <w:spacing w:beforeLines="50" w:afterLines="50" w:line="500" w:lineRule="exact"/>
        <w:rPr>
          <w:sz w:val="30"/>
          <w:szCs w:val="30"/>
        </w:rPr>
      </w:pPr>
      <w:r>
        <w:rPr>
          <w:sz w:val="30"/>
          <w:szCs w:val="30"/>
        </w:rPr>
        <w:lastRenderedPageBreak/>
        <w:t xml:space="preserve">1. </w:t>
      </w:r>
      <w:r>
        <w:rPr>
          <w:rFonts w:hint="eastAsia"/>
          <w:sz w:val="30"/>
          <w:szCs w:val="30"/>
        </w:rPr>
        <w:t>工作简况</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1.1 任务来源</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2019年9月，《工业和信息化部办公厅关于印发2019年第一批行业标准制修订和外文版项目计划的通知》（工信厅科函〔2019〕126号）下达了行业标准《墙体板材行业绿色工厂评价要求》编制计划，计划号2019-0074T-JC，完成时限12个月。该标准是2019年立项的行业标准《墙体材料行业绿色工厂评价导则》的配套实施细则，编制工作由中国建材检验认证集团西安有限公司、国家绿色墙体材料质量监督检验中心等单位负责，由建材工业综合标准化技术委员会归口管理。</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1.2 工作背景</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全面实施绿色制造工程是制造强国建设的战略任务，也是推进供给侧结构性改革的重要举措。要成就绿色制造、规范绿色评价，法规标准制度建设是根本保障。工信部于2016年9月下发《工业和信息化部办公厅关于开展绿色制造体系建设的通知》（工信厅节函[2016]586号），在制造业全面开展绿色设计产品、绿色工厂、绿色供应链和绿色园区的创建与评价工作。其中对于如何进行绿色工厂评价以附件的形式给出了《绿色工厂评价要求》，作为标准出台前展开相关评价工作的主要依据。</w:t>
      </w:r>
      <w:r>
        <w:rPr>
          <w:rFonts w:ascii="宋体" w:eastAsia="宋体" w:hAnsi="宋体"/>
          <w:sz w:val="24"/>
          <w:szCs w:val="24"/>
        </w:rPr>
        <w:t>2018</w:t>
      </w:r>
      <w:r>
        <w:rPr>
          <w:rFonts w:ascii="宋体" w:eastAsia="宋体" w:hAnsi="宋体" w:hint="eastAsia"/>
          <w:sz w:val="24"/>
          <w:szCs w:val="24"/>
        </w:rPr>
        <w:t>年</w:t>
      </w:r>
      <w:r>
        <w:rPr>
          <w:rFonts w:ascii="宋体" w:eastAsia="宋体" w:hAnsi="宋体"/>
          <w:sz w:val="24"/>
          <w:szCs w:val="24"/>
        </w:rPr>
        <w:t>12</w:t>
      </w:r>
      <w:r>
        <w:rPr>
          <w:rFonts w:ascii="宋体" w:eastAsia="宋体" w:hAnsi="宋体" w:hint="eastAsia"/>
          <w:sz w:val="24"/>
          <w:szCs w:val="24"/>
        </w:rPr>
        <w:t>月</w:t>
      </w:r>
      <w:r>
        <w:rPr>
          <w:rFonts w:ascii="宋体" w:eastAsia="宋体" w:hAnsi="宋体"/>
          <w:sz w:val="24"/>
          <w:szCs w:val="24"/>
        </w:rPr>
        <w:t>1</w:t>
      </w:r>
      <w:r>
        <w:rPr>
          <w:rFonts w:ascii="宋体" w:eastAsia="宋体" w:hAnsi="宋体" w:hint="eastAsia"/>
          <w:sz w:val="24"/>
          <w:szCs w:val="24"/>
        </w:rPr>
        <w:t>日，由国家工业和信息化部提出的国家标准《绿色工厂评价通则》（</w:t>
      </w:r>
      <w:r>
        <w:rPr>
          <w:rFonts w:ascii="宋体" w:eastAsia="宋体" w:hAnsi="宋体"/>
          <w:sz w:val="24"/>
          <w:szCs w:val="24"/>
        </w:rPr>
        <w:t>GB/T 36132-2018</w:t>
      </w:r>
      <w:r>
        <w:rPr>
          <w:rFonts w:ascii="宋体" w:eastAsia="宋体" w:hAnsi="宋体" w:hint="eastAsia"/>
          <w:sz w:val="24"/>
          <w:szCs w:val="24"/>
        </w:rPr>
        <w:t>）（以下简称《通则》）正式实施。由于各行业生产流程和加工工艺等差别较大，建设绿色工厂的侧重点各有不同，评价标准差异较大。因此，针对不同行业制定相关绿色工厂评价标准十分必要。建材行业以“导则+评价要求”的模式构建绿色工厂评价标准体系框架，其中“导则”是以《通则》作为编制依据进行编写，“评价要求”再以相关“导则”作为编写依据。目前，《墙体材料行业绿色工厂评价导则》已经形成标准报批稿，为了让评价标准在墙体材料行业内尽快落地实施，相关评价细则的制定就显得格外重要。</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 xml:space="preserve"> 1.3 工作过程</w:t>
      </w:r>
    </w:p>
    <w:p w:rsidR="00DF158F" w:rsidRDefault="00BE059B">
      <w:pPr>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①</w:t>
      </w:r>
      <w:r w:rsidR="00865BCE">
        <w:rPr>
          <w:rFonts w:ascii="宋体" w:eastAsia="宋体" w:hAnsi="宋体" w:cs="Times New Roman" w:hint="eastAsia"/>
          <w:sz w:val="24"/>
          <w:szCs w:val="24"/>
        </w:rPr>
        <w:t>2019年9月23日，在重庆召开标准启动会，本次启动会依托中国混凝土与水泥制品协会墙板分会2019年度会议进行，由项目负责人胡小迪为参会代表介绍了标准立项背景以及相关的绿色工厂标准制定情况，重点讲解了行业标准《墙体板材行业绿色工厂评价要求》的制定思路及标准框架。</w:t>
      </w:r>
    </w:p>
    <w:p w:rsidR="00DF158F" w:rsidRDefault="00BE059B">
      <w:pPr>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②</w:t>
      </w:r>
      <w:r w:rsidR="00865BCE">
        <w:rPr>
          <w:rFonts w:ascii="宋体" w:eastAsia="宋体" w:hAnsi="宋体" w:cs="Times New Roman" w:hint="eastAsia"/>
          <w:sz w:val="24"/>
          <w:szCs w:val="24"/>
        </w:rPr>
        <w:t>201</w:t>
      </w:r>
      <w:r w:rsidR="00865BCE">
        <w:rPr>
          <w:rFonts w:ascii="宋体" w:eastAsia="宋体" w:hAnsi="宋体" w:hint="eastAsia"/>
          <w:sz w:val="24"/>
          <w:szCs w:val="24"/>
        </w:rPr>
        <w:t>9</w:t>
      </w:r>
      <w:r w:rsidR="00865BCE">
        <w:rPr>
          <w:rFonts w:ascii="宋体" w:eastAsia="宋体" w:hAnsi="宋体" w:cs="Times New Roman" w:hint="eastAsia"/>
          <w:sz w:val="24"/>
          <w:szCs w:val="24"/>
        </w:rPr>
        <w:t>年10月，落实标准编制组成员具体分工，确定标准制定方案及时间节点，确保项目按时完成。</w:t>
      </w:r>
    </w:p>
    <w:p w:rsidR="00DF158F" w:rsidRDefault="00BE059B">
      <w:pPr>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③20</w:t>
      </w:r>
      <w:r w:rsidR="00865BCE">
        <w:rPr>
          <w:rFonts w:ascii="宋体" w:eastAsia="宋体" w:hAnsi="宋体" w:cs="Times New Roman" w:hint="eastAsia"/>
          <w:sz w:val="24"/>
          <w:szCs w:val="24"/>
        </w:rPr>
        <w:t>19</w:t>
      </w:r>
      <w:r>
        <w:rPr>
          <w:rFonts w:ascii="宋体" w:eastAsia="宋体" w:hAnsi="宋体" w:cs="Times New Roman" w:hint="eastAsia"/>
          <w:sz w:val="24"/>
          <w:szCs w:val="24"/>
        </w:rPr>
        <w:t>年</w:t>
      </w:r>
      <w:r w:rsidR="00865BCE">
        <w:rPr>
          <w:rFonts w:ascii="宋体" w:eastAsia="宋体" w:hAnsi="宋体" w:cs="Times New Roman" w:hint="eastAsia"/>
          <w:sz w:val="24"/>
          <w:szCs w:val="24"/>
        </w:rPr>
        <w:t>10</w:t>
      </w:r>
      <w:r>
        <w:rPr>
          <w:rFonts w:ascii="宋体" w:eastAsia="宋体" w:hAnsi="宋体" w:cs="Times New Roman" w:hint="eastAsia"/>
          <w:sz w:val="24"/>
          <w:szCs w:val="24"/>
        </w:rPr>
        <w:t>月～</w:t>
      </w:r>
      <w:r w:rsidR="00865BCE">
        <w:rPr>
          <w:rFonts w:ascii="宋体" w:eastAsia="宋体" w:hAnsi="宋体" w:cs="Times New Roman" w:hint="eastAsia"/>
          <w:sz w:val="24"/>
          <w:szCs w:val="24"/>
        </w:rPr>
        <w:t>2020年7</w:t>
      </w:r>
      <w:r>
        <w:rPr>
          <w:rFonts w:ascii="宋体" w:eastAsia="宋体" w:hAnsi="宋体" w:cs="Times New Roman" w:hint="eastAsia"/>
          <w:sz w:val="24"/>
          <w:szCs w:val="24"/>
        </w:rPr>
        <w:t>月，依据行业标准《墙体材料行业绿色工厂评价导则》（JC/T XXXXX-2020），同时结合墙体板材行业实际发展状况，</w:t>
      </w:r>
      <w:r w:rsidR="002F42D9">
        <w:rPr>
          <w:rFonts w:ascii="宋体" w:eastAsia="宋体" w:hAnsi="宋体" w:cs="Times New Roman" w:hint="eastAsia"/>
          <w:sz w:val="24"/>
          <w:szCs w:val="24"/>
        </w:rPr>
        <w:t>通过组织工作会议、专家座谈等方式，对标准评价内容进行讨论，最终</w:t>
      </w:r>
      <w:r>
        <w:rPr>
          <w:rFonts w:ascii="宋体" w:eastAsia="宋体" w:hAnsi="宋体" w:cs="Times New Roman" w:hint="eastAsia"/>
          <w:sz w:val="24"/>
          <w:szCs w:val="24"/>
        </w:rPr>
        <w:t>形成了标准</w:t>
      </w:r>
      <w:r w:rsidR="00865BCE">
        <w:rPr>
          <w:rFonts w:ascii="宋体" w:eastAsia="宋体" w:hAnsi="宋体" w:cs="Times New Roman" w:hint="eastAsia"/>
          <w:sz w:val="24"/>
          <w:szCs w:val="24"/>
        </w:rPr>
        <w:t>征求意见稿</w:t>
      </w:r>
      <w:r>
        <w:rPr>
          <w:rFonts w:ascii="宋体" w:eastAsia="宋体" w:hAnsi="宋体" w:cs="Times New Roman" w:hint="eastAsia"/>
          <w:sz w:val="24"/>
          <w:szCs w:val="24"/>
        </w:rPr>
        <w:t>。</w:t>
      </w:r>
    </w:p>
    <w:p w:rsidR="00DF158F" w:rsidRDefault="00BE059B">
      <w:pPr>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④</w:t>
      </w:r>
      <w:r w:rsidR="00865BCE">
        <w:rPr>
          <w:rFonts w:ascii="宋体" w:eastAsia="宋体" w:hAnsi="宋体" w:cs="Times New Roman" w:hint="eastAsia"/>
          <w:sz w:val="24"/>
          <w:szCs w:val="24"/>
        </w:rPr>
        <w:t>2020年8月，标准进入征求意见阶段</w:t>
      </w:r>
      <w:r>
        <w:rPr>
          <w:rFonts w:ascii="宋体" w:eastAsia="宋体" w:hAnsi="宋体" w:cs="Times New Roman"/>
          <w:sz w:val="24"/>
          <w:szCs w:val="24"/>
        </w:rPr>
        <w:t>。</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1.4 主要参加单位和工作组成员及其分工</w:t>
      </w:r>
    </w:p>
    <w:p w:rsidR="00DF158F" w:rsidRDefault="00BE059B">
      <w:pPr>
        <w:spacing w:line="500" w:lineRule="exact"/>
        <w:ind w:firstLineChars="200" w:firstLine="480"/>
        <w:rPr>
          <w:rFonts w:ascii="宋体" w:eastAsia="宋体" w:hAnsi="宋体" w:cs="Times New Roman"/>
          <w:b/>
          <w:szCs w:val="21"/>
        </w:rPr>
      </w:pPr>
      <w:r>
        <w:rPr>
          <w:rFonts w:ascii="宋体" w:eastAsia="宋体" w:hAnsi="宋体" w:hint="eastAsia"/>
          <w:sz w:val="24"/>
          <w:szCs w:val="24"/>
        </w:rPr>
        <w:t>行业</w:t>
      </w:r>
      <w:r>
        <w:rPr>
          <w:rFonts w:ascii="宋体" w:eastAsia="宋体" w:hAnsi="宋体" w:cs="Times New Roman" w:hint="eastAsia"/>
          <w:sz w:val="24"/>
          <w:szCs w:val="24"/>
        </w:rPr>
        <w:t>标准</w:t>
      </w:r>
      <w:r w:rsidR="00682B39">
        <w:rPr>
          <w:rFonts w:ascii="宋体" w:eastAsia="宋体" w:hAnsi="宋体" w:cs="Times New Roman" w:hint="eastAsia"/>
          <w:sz w:val="24"/>
          <w:szCs w:val="24"/>
        </w:rPr>
        <w:t>《</w:t>
      </w:r>
      <w:r w:rsidR="00682B39">
        <w:rPr>
          <w:rFonts w:ascii="宋体" w:eastAsia="宋体" w:hAnsi="宋体" w:hint="eastAsia"/>
          <w:sz w:val="24"/>
          <w:szCs w:val="24"/>
        </w:rPr>
        <w:t>墙体板材行业绿色工厂评价要求</w:t>
      </w:r>
      <w:r w:rsidR="00682B39">
        <w:rPr>
          <w:rFonts w:ascii="宋体" w:eastAsia="宋体" w:hAnsi="宋体" w:cs="Times New Roman" w:hint="eastAsia"/>
          <w:sz w:val="24"/>
          <w:szCs w:val="24"/>
        </w:rPr>
        <w:t>》立项</w:t>
      </w:r>
      <w:r>
        <w:rPr>
          <w:rFonts w:ascii="宋体" w:eastAsia="宋体" w:hAnsi="宋体" w:cs="Times New Roman" w:hint="eastAsia"/>
          <w:sz w:val="24"/>
          <w:szCs w:val="24"/>
        </w:rPr>
        <w:t>计划下达后，为了顺利完成标准的编制工作，</w:t>
      </w:r>
      <w:r>
        <w:rPr>
          <w:rFonts w:ascii="宋体" w:eastAsia="宋体" w:hAnsi="宋体" w:hint="eastAsia"/>
          <w:sz w:val="24"/>
          <w:szCs w:val="24"/>
        </w:rPr>
        <w:t>标准起草单位</w:t>
      </w:r>
      <w:r>
        <w:rPr>
          <w:rFonts w:ascii="宋体" w:eastAsia="宋体" w:hAnsi="宋体" w:cs="Times New Roman" w:hint="eastAsia"/>
          <w:sz w:val="24"/>
          <w:szCs w:val="24"/>
        </w:rPr>
        <w:t>中国建材检验认证集团西安有限公司成立了标准编制组，明确了任务与分工以及各项任务</w:t>
      </w:r>
      <w:r w:rsidR="00682B39">
        <w:rPr>
          <w:rFonts w:ascii="宋体" w:eastAsia="宋体" w:hAnsi="宋体" w:cs="Times New Roman" w:hint="eastAsia"/>
          <w:sz w:val="24"/>
          <w:szCs w:val="24"/>
        </w:rPr>
        <w:t>完成</w:t>
      </w:r>
      <w:r>
        <w:rPr>
          <w:rFonts w:ascii="宋体" w:eastAsia="宋体" w:hAnsi="宋体" w:cs="Times New Roman" w:hint="eastAsia"/>
          <w:sz w:val="24"/>
          <w:szCs w:val="24"/>
        </w:rPr>
        <w:t>的时间节点要求，具体分工情况见表1</w:t>
      </w:r>
      <w:r>
        <w:rPr>
          <w:rFonts w:ascii="宋体" w:eastAsia="宋体" w:hAnsi="宋体" w:hint="eastAsia"/>
          <w:sz w:val="24"/>
          <w:szCs w:val="24"/>
        </w:rPr>
        <w:t>。</w:t>
      </w:r>
    </w:p>
    <w:p w:rsidR="00DF158F" w:rsidRPr="00F84760" w:rsidRDefault="00BE059B" w:rsidP="00045C03">
      <w:pPr>
        <w:spacing w:beforeLines="50" w:afterLines="30"/>
        <w:jc w:val="center"/>
        <w:rPr>
          <w:b/>
          <w:szCs w:val="21"/>
        </w:rPr>
      </w:pPr>
      <w:r w:rsidRPr="00F84760">
        <w:rPr>
          <w:rFonts w:hint="eastAsia"/>
          <w:b/>
          <w:szCs w:val="21"/>
        </w:rPr>
        <w:t>表1   起草单位分工情况表</w:t>
      </w:r>
    </w:p>
    <w:tbl>
      <w:tblPr>
        <w:tblStyle w:val="ae"/>
        <w:tblW w:w="0" w:type="auto"/>
        <w:jc w:val="center"/>
        <w:tblLook w:val="04A0"/>
      </w:tblPr>
      <w:tblGrid>
        <w:gridCol w:w="659"/>
        <w:gridCol w:w="3672"/>
        <w:gridCol w:w="1833"/>
        <w:gridCol w:w="2254"/>
        <w:gridCol w:w="1152"/>
      </w:tblGrid>
      <w:tr w:rsidR="00DF158F">
        <w:trPr>
          <w:trHeight w:val="421"/>
          <w:jc w:val="center"/>
        </w:trPr>
        <w:tc>
          <w:tcPr>
            <w:tcW w:w="661"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序号</w:t>
            </w:r>
          </w:p>
        </w:tc>
        <w:tc>
          <w:tcPr>
            <w:tcW w:w="3700"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起草单位名称</w:t>
            </w:r>
          </w:p>
        </w:tc>
        <w:tc>
          <w:tcPr>
            <w:tcW w:w="1843"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起草人</w:t>
            </w:r>
          </w:p>
        </w:tc>
        <w:tc>
          <w:tcPr>
            <w:tcW w:w="2268"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承担任务</w:t>
            </w:r>
          </w:p>
        </w:tc>
        <w:tc>
          <w:tcPr>
            <w:tcW w:w="1156"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备注</w:t>
            </w:r>
          </w:p>
        </w:tc>
      </w:tr>
      <w:tr w:rsidR="00DF158F">
        <w:trPr>
          <w:trHeight w:val="1369"/>
          <w:jc w:val="center"/>
        </w:trPr>
        <w:tc>
          <w:tcPr>
            <w:tcW w:w="661"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1</w:t>
            </w:r>
          </w:p>
        </w:tc>
        <w:tc>
          <w:tcPr>
            <w:tcW w:w="3700"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中国建材检验认证集团西安有限公司</w:t>
            </w:r>
          </w:p>
        </w:tc>
        <w:tc>
          <w:tcPr>
            <w:tcW w:w="1843" w:type="dxa"/>
            <w:vAlign w:val="center"/>
          </w:tcPr>
          <w:p w:rsidR="00DF158F" w:rsidRDefault="00BE059B">
            <w:pPr>
              <w:rPr>
                <w:rFonts w:ascii="宋体" w:eastAsia="宋体" w:hAnsi="宋体" w:cs="Times New Roman"/>
                <w:szCs w:val="21"/>
              </w:rPr>
            </w:pPr>
            <w:r>
              <w:rPr>
                <w:rFonts w:ascii="宋体" w:eastAsia="宋体" w:hAnsi="宋体" w:cs="Times New Roman" w:hint="eastAsia"/>
                <w:szCs w:val="21"/>
              </w:rPr>
              <w:t>胡小迪、</w:t>
            </w:r>
            <w:r>
              <w:rPr>
                <w:rFonts w:ascii="宋体" w:eastAsia="宋体" w:hAnsi="宋体" w:cs="Times New Roman"/>
                <w:szCs w:val="21"/>
              </w:rPr>
              <w:t>吴冰、</w:t>
            </w:r>
            <w:r>
              <w:rPr>
                <w:rFonts w:ascii="宋体" w:eastAsia="宋体" w:hAnsi="宋体" w:cs="Times New Roman" w:hint="eastAsia"/>
                <w:szCs w:val="21"/>
              </w:rPr>
              <w:t>孙婉琦、王攀</w:t>
            </w:r>
          </w:p>
        </w:tc>
        <w:tc>
          <w:tcPr>
            <w:tcW w:w="2268" w:type="dxa"/>
            <w:vAlign w:val="center"/>
          </w:tcPr>
          <w:p w:rsidR="00DF158F" w:rsidRDefault="00BE059B">
            <w:pPr>
              <w:jc w:val="left"/>
              <w:rPr>
                <w:rFonts w:ascii="宋体" w:eastAsia="宋体" w:hAnsi="宋体" w:cs="Times New Roman"/>
                <w:szCs w:val="21"/>
              </w:rPr>
            </w:pPr>
            <w:r>
              <w:rPr>
                <w:rFonts w:ascii="宋体" w:eastAsia="宋体" w:hAnsi="宋体" w:cs="Times New Roman" w:hint="eastAsia"/>
                <w:szCs w:val="21"/>
              </w:rPr>
              <w:t>负责构架标准结构，根据行业特点提出适用的标准体系框架，同时收集整理相关数据。</w:t>
            </w:r>
          </w:p>
        </w:tc>
        <w:tc>
          <w:tcPr>
            <w:tcW w:w="1156"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检测、科研机构</w:t>
            </w:r>
          </w:p>
        </w:tc>
      </w:tr>
      <w:tr w:rsidR="00DF158F">
        <w:trPr>
          <w:trHeight w:val="421"/>
          <w:jc w:val="center"/>
        </w:trPr>
        <w:tc>
          <w:tcPr>
            <w:tcW w:w="661"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2</w:t>
            </w:r>
          </w:p>
        </w:tc>
        <w:tc>
          <w:tcPr>
            <w:tcW w:w="3700" w:type="dxa"/>
            <w:vAlign w:val="center"/>
          </w:tcPr>
          <w:p w:rsidR="00DF158F" w:rsidRDefault="00BE059B">
            <w:pPr>
              <w:jc w:val="center"/>
              <w:rPr>
                <w:rFonts w:ascii="宋体" w:eastAsia="宋体" w:hAnsi="宋体" w:cs="Times New Roman"/>
                <w:szCs w:val="21"/>
              </w:rPr>
            </w:pPr>
            <w:r>
              <w:rPr>
                <w:rFonts w:ascii="宋体" w:eastAsia="宋体" w:hAnsi="宋体" w:cs="Times New Roman" w:hint="eastAsia"/>
                <w:szCs w:val="21"/>
              </w:rPr>
              <w:t>北京国建联信认证中心有限公司</w:t>
            </w:r>
          </w:p>
        </w:tc>
        <w:tc>
          <w:tcPr>
            <w:tcW w:w="1843" w:type="dxa"/>
            <w:vAlign w:val="center"/>
          </w:tcPr>
          <w:p w:rsidR="00DF158F" w:rsidRDefault="00BE059B">
            <w:pPr>
              <w:rPr>
                <w:rFonts w:ascii="宋体" w:eastAsia="宋体" w:hAnsi="宋体" w:cs="Times New Roman"/>
                <w:szCs w:val="21"/>
              </w:rPr>
            </w:pPr>
            <w:r>
              <w:rPr>
                <w:rFonts w:ascii="宋体" w:eastAsia="宋体" w:hAnsi="宋体" w:cs="Times New Roman" w:hint="eastAsia"/>
                <w:szCs w:val="21"/>
              </w:rPr>
              <w:t>李晋梅</w:t>
            </w:r>
          </w:p>
        </w:tc>
        <w:tc>
          <w:tcPr>
            <w:tcW w:w="2268" w:type="dxa"/>
            <w:vAlign w:val="center"/>
          </w:tcPr>
          <w:p w:rsidR="00DF158F" w:rsidRDefault="00BE059B">
            <w:pPr>
              <w:jc w:val="left"/>
              <w:rPr>
                <w:rFonts w:ascii="宋体" w:eastAsia="宋体" w:hAnsi="宋体" w:cs="Times New Roman"/>
                <w:szCs w:val="21"/>
              </w:rPr>
            </w:pPr>
            <w:r>
              <w:rPr>
                <w:rFonts w:ascii="宋体" w:eastAsia="宋体" w:hAnsi="宋体" w:cs="Times New Roman"/>
                <w:szCs w:val="21"/>
              </w:rPr>
              <w:t>负责从标准可操作性方面对标准</w:t>
            </w:r>
            <w:r>
              <w:rPr>
                <w:rFonts w:ascii="宋体" w:eastAsia="宋体" w:hAnsi="宋体" w:cs="Times New Roman" w:hint="eastAsia"/>
                <w:szCs w:val="21"/>
              </w:rPr>
              <w:t>体系</w:t>
            </w:r>
            <w:r>
              <w:rPr>
                <w:rFonts w:ascii="宋体" w:eastAsia="宋体" w:hAnsi="宋体" w:cs="Times New Roman"/>
                <w:szCs w:val="21"/>
              </w:rPr>
              <w:t>的搭建提供技术支持。</w:t>
            </w:r>
          </w:p>
        </w:tc>
        <w:tc>
          <w:tcPr>
            <w:tcW w:w="1156" w:type="dxa"/>
            <w:vAlign w:val="center"/>
          </w:tcPr>
          <w:p w:rsidR="00DF158F" w:rsidRDefault="00BE059B">
            <w:pPr>
              <w:jc w:val="center"/>
              <w:rPr>
                <w:rFonts w:ascii="宋体" w:eastAsia="宋体" w:hAnsi="宋体" w:cs="Times New Roman"/>
                <w:szCs w:val="21"/>
              </w:rPr>
            </w:pPr>
            <w:r>
              <w:rPr>
                <w:rFonts w:ascii="宋体" w:eastAsia="宋体" w:hAnsi="宋体" w:cs="Times New Roman"/>
                <w:szCs w:val="21"/>
              </w:rPr>
              <w:t>认证单位</w:t>
            </w:r>
          </w:p>
        </w:tc>
      </w:tr>
      <w:tr w:rsidR="00DF158F">
        <w:trPr>
          <w:trHeight w:val="421"/>
          <w:jc w:val="center"/>
        </w:trPr>
        <w:tc>
          <w:tcPr>
            <w:tcW w:w="661" w:type="dxa"/>
            <w:vAlign w:val="center"/>
          </w:tcPr>
          <w:p w:rsidR="00DF158F" w:rsidRDefault="00DF158F">
            <w:pPr>
              <w:jc w:val="center"/>
              <w:rPr>
                <w:rFonts w:ascii="宋体" w:eastAsia="宋体" w:hAnsi="宋体" w:cs="Times New Roman"/>
                <w:szCs w:val="21"/>
              </w:rPr>
            </w:pPr>
          </w:p>
        </w:tc>
        <w:tc>
          <w:tcPr>
            <w:tcW w:w="3700" w:type="dxa"/>
            <w:vAlign w:val="center"/>
          </w:tcPr>
          <w:p w:rsidR="00DF158F" w:rsidRDefault="00DF158F">
            <w:pPr>
              <w:jc w:val="center"/>
              <w:rPr>
                <w:rFonts w:ascii="宋体" w:eastAsia="宋体" w:hAnsi="宋体" w:cs="Times New Roman"/>
                <w:szCs w:val="21"/>
              </w:rPr>
            </w:pPr>
          </w:p>
        </w:tc>
        <w:tc>
          <w:tcPr>
            <w:tcW w:w="1843" w:type="dxa"/>
            <w:vAlign w:val="center"/>
          </w:tcPr>
          <w:p w:rsidR="00DF158F" w:rsidRDefault="00DF158F">
            <w:pPr>
              <w:rPr>
                <w:rFonts w:ascii="宋体" w:eastAsia="宋体" w:hAnsi="宋体" w:cs="Times New Roman"/>
                <w:szCs w:val="21"/>
              </w:rPr>
            </w:pPr>
          </w:p>
        </w:tc>
        <w:tc>
          <w:tcPr>
            <w:tcW w:w="2268" w:type="dxa"/>
            <w:vAlign w:val="center"/>
          </w:tcPr>
          <w:p w:rsidR="00DF158F" w:rsidRDefault="00DF158F">
            <w:pPr>
              <w:jc w:val="left"/>
              <w:rPr>
                <w:rFonts w:ascii="宋体" w:eastAsia="宋体" w:hAnsi="宋体" w:cs="Times New Roman"/>
                <w:szCs w:val="21"/>
              </w:rPr>
            </w:pPr>
          </w:p>
        </w:tc>
        <w:tc>
          <w:tcPr>
            <w:tcW w:w="1156" w:type="dxa"/>
            <w:vAlign w:val="center"/>
          </w:tcPr>
          <w:p w:rsidR="00DF158F" w:rsidRDefault="00DF158F">
            <w:pPr>
              <w:jc w:val="center"/>
              <w:rPr>
                <w:rFonts w:ascii="宋体" w:eastAsia="宋体" w:hAnsi="宋体" w:cs="Times New Roman"/>
                <w:szCs w:val="21"/>
              </w:rPr>
            </w:pPr>
          </w:p>
        </w:tc>
      </w:tr>
    </w:tbl>
    <w:p w:rsidR="00DF158F" w:rsidRDefault="00BE059B">
      <w:pPr>
        <w:pStyle w:val="2"/>
        <w:spacing w:before="120" w:after="120" w:line="500" w:lineRule="exact"/>
        <w:rPr>
          <w:rFonts w:ascii="宋体" w:eastAsia="宋体" w:hAnsi="宋体" w:cs="宋体"/>
        </w:rPr>
      </w:pPr>
      <w:r>
        <w:rPr>
          <w:rFonts w:ascii="宋体" w:eastAsia="宋体" w:hAnsi="宋体" w:cs="宋体" w:hint="eastAsia"/>
        </w:rPr>
        <w:t>1.5 墙体板材行业概况</w:t>
      </w:r>
    </w:p>
    <w:p w:rsidR="00ED67B4" w:rsidRDefault="00ED67B4" w:rsidP="00B608F5">
      <w:pPr>
        <w:spacing w:line="500" w:lineRule="exact"/>
        <w:ind w:firstLineChars="200" w:firstLine="480"/>
        <w:rPr>
          <w:rFonts w:ascii="宋体" w:eastAsia="宋体" w:hAnsi="宋体" w:cs="Times New Roman"/>
          <w:sz w:val="24"/>
          <w:szCs w:val="24"/>
        </w:rPr>
      </w:pPr>
      <w:r w:rsidRPr="00ED67B4">
        <w:rPr>
          <w:rFonts w:ascii="宋体" w:eastAsia="宋体" w:hAnsi="宋体" w:cs="Times New Roman" w:hint="eastAsia"/>
          <w:sz w:val="24"/>
          <w:szCs w:val="24"/>
        </w:rPr>
        <w:t>建筑墙板行业隶属于墙体材料，由于板材规格尺寸工整，生产工艺简单，采用自动化生产，产量较高，而且板材一般规格较大、结构性强，如果采取整体式装配，能做到生产工业化，产品标准化，规格尺寸模数化，施工装配化，且能最大程度地利用固体废弃物或建筑垃圾等节约原材料，同时每平米板材的体积密度小于普通的烧结砖，墙体自重较轻，性价比高于常规砌筑材料，是完全符合住宅产业现代化、部品化及以轻钢结构为主体的现代化建筑结构发展趋势，得到了市场的认可和青睐，建筑墙板已慢慢替代传统墙体材料成为结构围护与隔断的主要墙体材料。</w:t>
      </w:r>
    </w:p>
    <w:p w:rsidR="00ED67B4" w:rsidRDefault="00ED67B4" w:rsidP="00ED67B4">
      <w:pPr>
        <w:spacing w:line="500" w:lineRule="exact"/>
        <w:ind w:firstLineChars="200" w:firstLine="480"/>
        <w:rPr>
          <w:rFonts w:ascii="宋体" w:eastAsia="宋体" w:hAnsi="宋体" w:cs="Times New Roman"/>
          <w:sz w:val="24"/>
          <w:szCs w:val="24"/>
        </w:rPr>
      </w:pPr>
      <w:r w:rsidRPr="00ED67B4">
        <w:rPr>
          <w:rFonts w:ascii="宋体" w:eastAsia="宋体" w:hAnsi="宋体" w:cs="Times New Roman" w:hint="eastAsia"/>
          <w:sz w:val="24"/>
          <w:szCs w:val="24"/>
        </w:rPr>
        <w:t>建筑墙板的发展在中国的</w:t>
      </w:r>
      <w:r w:rsidRPr="00ED67B4">
        <w:rPr>
          <w:rFonts w:ascii="宋体" w:eastAsia="宋体" w:hAnsi="宋体" w:cs="Times New Roman"/>
          <w:sz w:val="24"/>
          <w:szCs w:val="24"/>
        </w:rPr>
        <w:t>20世纪90年代末和20</w:t>
      </w:r>
      <w:r w:rsidRPr="00ED67B4">
        <w:rPr>
          <w:rFonts w:ascii="宋体" w:eastAsia="宋体" w:hAnsi="宋体" w:cs="Times New Roman" w:hint="eastAsia"/>
          <w:sz w:val="24"/>
          <w:szCs w:val="24"/>
        </w:rPr>
        <w:t>世纪初发展较快，</w:t>
      </w:r>
      <w:r w:rsidRPr="00ED67B4">
        <w:rPr>
          <w:rFonts w:ascii="宋体" w:eastAsia="宋体" w:hAnsi="宋体" w:cs="Times New Roman"/>
          <w:sz w:val="24"/>
          <w:szCs w:val="24"/>
        </w:rPr>
        <w:t>1999年生产总量就达到了2.41亿m</w:t>
      </w:r>
      <w:r w:rsidRPr="00ED67B4">
        <w:rPr>
          <w:rFonts w:ascii="宋体" w:eastAsia="宋体" w:hAnsi="宋体" w:cs="Times New Roman"/>
          <w:sz w:val="24"/>
          <w:szCs w:val="24"/>
          <w:vertAlign w:val="superscript"/>
        </w:rPr>
        <w:t>2</w:t>
      </w:r>
      <w:r w:rsidRPr="00ED67B4">
        <w:rPr>
          <w:rFonts w:ascii="宋体" w:eastAsia="宋体" w:hAnsi="宋体" w:cs="Times New Roman"/>
          <w:sz w:val="24"/>
          <w:szCs w:val="24"/>
        </w:rPr>
        <w:t xml:space="preserve"> ，占我国墙材总量的1.41%。但是由于的建筑墙板</w:t>
      </w:r>
      <w:r w:rsidRPr="00ED67B4">
        <w:rPr>
          <w:rFonts w:ascii="宋体" w:eastAsia="宋体" w:hAnsi="宋体" w:cs="Times New Roman" w:hint="eastAsia"/>
          <w:sz w:val="24"/>
          <w:szCs w:val="24"/>
        </w:rPr>
        <w:t>行业从业门槛低，</w:t>
      </w:r>
      <w:r w:rsidRPr="00ED67B4">
        <w:rPr>
          <w:rFonts w:ascii="宋体" w:eastAsia="宋体" w:hAnsi="宋体" w:cs="Times New Roman" w:hint="eastAsia"/>
          <w:sz w:val="24"/>
          <w:szCs w:val="24"/>
        </w:rPr>
        <w:lastRenderedPageBreak/>
        <w:t>行业仍处在小、乱、形不成规模，粗放型生产的状态，多数建筑墙板生产企业目前还是单打独斗沿用小规模方式试验制造，边改进、边生产，生产工艺落后，难以达到规模化、定型化要求，特别是行业大量关键应用配套技术未得到解决，如板材接缝技术及收缩开裂问题，再加之产品质量不尽如人意和许多低劣产品充斥市场，恶性竞争对建筑墙板等建筑板材造成了恶劣的影响，使得建筑墙板市场，未有突破性进展，市场反复很大，</w:t>
      </w:r>
      <w:r w:rsidRPr="00ED67B4">
        <w:rPr>
          <w:rFonts w:ascii="宋体" w:eastAsia="宋体" w:hAnsi="宋体" w:cs="Times New Roman"/>
          <w:sz w:val="24"/>
          <w:szCs w:val="24"/>
        </w:rPr>
        <w:t>2005年建筑墙板产量和应用</w:t>
      </w:r>
      <w:r w:rsidRPr="00ED67B4">
        <w:rPr>
          <w:rFonts w:ascii="宋体" w:eastAsia="宋体" w:hAnsi="宋体" w:cs="Times New Roman" w:hint="eastAsia"/>
          <w:sz w:val="24"/>
          <w:szCs w:val="24"/>
        </w:rPr>
        <w:t>锐减至约</w:t>
      </w:r>
      <w:r w:rsidRPr="00ED67B4">
        <w:rPr>
          <w:rFonts w:ascii="宋体" w:eastAsia="宋体" w:hAnsi="宋体" w:cs="Times New Roman"/>
          <w:sz w:val="24"/>
          <w:szCs w:val="24"/>
        </w:rPr>
        <w:t>3 000万m</w:t>
      </w:r>
      <w:r w:rsidRPr="00ED67B4">
        <w:rPr>
          <w:rFonts w:ascii="宋体" w:eastAsia="宋体" w:hAnsi="宋体" w:cs="Times New Roman"/>
          <w:sz w:val="24"/>
          <w:szCs w:val="24"/>
          <w:vertAlign w:val="superscript"/>
        </w:rPr>
        <w:t>2</w:t>
      </w:r>
      <w:r w:rsidRPr="00ED67B4">
        <w:rPr>
          <w:rFonts w:ascii="宋体" w:eastAsia="宋体" w:hAnsi="宋体" w:cs="Times New Roman"/>
          <w:sz w:val="24"/>
          <w:szCs w:val="24"/>
        </w:rPr>
        <w:t>，2006和2007年产量继续下滑，</w:t>
      </w:r>
      <w:r w:rsidRPr="00ED67B4">
        <w:rPr>
          <w:rFonts w:ascii="宋体" w:eastAsia="宋体" w:hAnsi="宋体" w:cs="Times New Roman" w:hint="eastAsia"/>
          <w:sz w:val="24"/>
          <w:szCs w:val="24"/>
        </w:rPr>
        <w:t>生产企业已不足</w:t>
      </w:r>
      <w:r w:rsidRPr="00ED67B4">
        <w:rPr>
          <w:rFonts w:ascii="宋体" w:eastAsia="宋体" w:hAnsi="宋体" w:cs="Times New Roman"/>
          <w:sz w:val="24"/>
          <w:szCs w:val="24"/>
        </w:rPr>
        <w:t>300家，全国建筑墙板产值不足20亿</w:t>
      </w:r>
      <w:r w:rsidRPr="00ED67B4">
        <w:rPr>
          <w:rFonts w:ascii="宋体" w:eastAsia="宋体" w:hAnsi="宋体" w:cs="Times New Roman" w:hint="eastAsia"/>
          <w:sz w:val="24"/>
          <w:szCs w:val="24"/>
        </w:rPr>
        <w:t>元。</w:t>
      </w:r>
    </w:p>
    <w:p w:rsidR="00ED67B4" w:rsidRPr="00ED67B4" w:rsidRDefault="00ED67B4" w:rsidP="00ED67B4">
      <w:pPr>
        <w:spacing w:line="500" w:lineRule="exact"/>
        <w:ind w:firstLineChars="200" w:firstLine="480"/>
        <w:rPr>
          <w:rFonts w:ascii="宋体" w:eastAsia="宋体" w:hAnsi="宋体" w:cs="Times New Roman"/>
          <w:sz w:val="24"/>
          <w:szCs w:val="24"/>
        </w:rPr>
      </w:pPr>
      <w:r w:rsidRPr="00ED67B4">
        <w:rPr>
          <w:rFonts w:ascii="宋体" w:eastAsia="宋体" w:hAnsi="宋体" w:cs="Times New Roman" w:hint="eastAsia"/>
          <w:sz w:val="24"/>
          <w:szCs w:val="24"/>
        </w:rPr>
        <w:t>近几年来，随着我国综合利废力度的加大，特别是对建筑垃圾废弃物的处理及我国建筑部品化的实施，建筑墙板行业在政策上又有了新的发展机遇。这期间，我国相应的产品国家标准标准、建筑施工和验收规范陆续颁布实施，极大地促进了我国的建筑墙板行业的复苏。</w:t>
      </w:r>
      <w:r>
        <w:rPr>
          <w:rFonts w:ascii="宋体" w:eastAsia="宋体" w:hAnsi="宋体" w:hint="eastAsia"/>
          <w:sz w:val="24"/>
          <w:szCs w:val="24"/>
        </w:rPr>
        <w:t>据不完全统计，截止2019年，墙体板材企业约有500家，产值可达35亿元左右。</w:t>
      </w:r>
    </w:p>
    <w:p w:rsidR="00DF158F" w:rsidRDefault="00BE059B" w:rsidP="00045C03">
      <w:pPr>
        <w:pStyle w:val="1"/>
        <w:spacing w:beforeLines="50" w:afterLines="50" w:line="500" w:lineRule="exact"/>
        <w:rPr>
          <w:sz w:val="30"/>
          <w:szCs w:val="30"/>
        </w:rPr>
      </w:pPr>
      <w:r>
        <w:rPr>
          <w:rFonts w:hint="eastAsia"/>
          <w:sz w:val="30"/>
          <w:szCs w:val="30"/>
        </w:rPr>
        <w:t xml:space="preserve">2. </w:t>
      </w:r>
      <w:r>
        <w:rPr>
          <w:rFonts w:hint="eastAsia"/>
          <w:sz w:val="30"/>
          <w:szCs w:val="30"/>
        </w:rPr>
        <w:t>国内外相关标准情况</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2.1 国际相关标准发展情况</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在绿色工厂领域，国际国外标准主要从环境管理、能源管理和温室气体等方面引导工厂降低资源环境影响，部分发达国家发布了综合管控绿色工厂的政策或标准。欧盟组织环境足迹（</w:t>
      </w:r>
      <w:r>
        <w:rPr>
          <w:rFonts w:ascii="宋体" w:eastAsia="宋体" w:hAnsi="宋体"/>
          <w:sz w:val="24"/>
          <w:szCs w:val="24"/>
        </w:rPr>
        <w:t>OEF）</w:t>
      </w:r>
      <w:r>
        <w:rPr>
          <w:rFonts w:ascii="宋体" w:eastAsia="宋体" w:hAnsi="宋体" w:hint="eastAsia"/>
          <w:sz w:val="24"/>
          <w:szCs w:val="24"/>
        </w:rPr>
        <w:t>技术规范将组织活动作为一个整体，评价与组织提供的商品和服务相关的所有活动对资源环境的影响。韩国绿色认证技术规范从事业、技术、设施、产品四个方面，以认证带动工厂绿色化。</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2.2 国内相关标准的研究</w:t>
      </w:r>
    </w:p>
    <w:p w:rsidR="00DF158F" w:rsidRDefault="00BE059B">
      <w:pPr>
        <w:pStyle w:val="2"/>
        <w:spacing w:before="120" w:after="120" w:line="500" w:lineRule="exact"/>
        <w:rPr>
          <w:rFonts w:ascii="宋体" w:eastAsia="宋体" w:hAnsi="宋体" w:cs="宋体"/>
        </w:rPr>
      </w:pPr>
      <w:r>
        <w:rPr>
          <w:rFonts w:ascii="宋体" w:eastAsia="宋体" w:hAnsi="宋体" w:cs="宋体" w:hint="eastAsia"/>
        </w:rPr>
        <w:t>2.2.1 绿色制造标准体系</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为贯彻落实《中国制造2025》战略部署，全面推行绿色制造，加快实施绿色制造工程，进一步发挥标准的规范和引领作用，推进绿色制造标准化工作，工业和信息化部、国家标准化管理委员会</w:t>
      </w:r>
      <w:bookmarkStart w:id="0" w:name="_Hlk502844352"/>
      <w:r>
        <w:rPr>
          <w:rFonts w:ascii="宋体" w:eastAsia="宋体" w:hAnsi="宋体" w:hint="eastAsia"/>
          <w:sz w:val="24"/>
          <w:szCs w:val="24"/>
        </w:rPr>
        <w:t>共同组织制定了《绿色制造标准体系建设指南》</w:t>
      </w:r>
      <w:bookmarkEnd w:id="0"/>
      <w:r>
        <w:rPr>
          <w:rFonts w:ascii="宋体" w:eastAsia="宋体" w:hAnsi="宋体" w:hint="eastAsia"/>
          <w:sz w:val="24"/>
          <w:szCs w:val="24"/>
        </w:rPr>
        <w:t>（工信部联节[2016]304号），《指南》中提出了绿色制造标准体系框架，梳理了各行业绿色制造重点领域和重点标准，为成套成体系地推进绿色制造标准化工作奠定了基础。绿色制造标准体系构建模型如图2所示。</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DF158F">
        <w:tc>
          <w:tcPr>
            <w:tcW w:w="8296" w:type="dxa"/>
          </w:tcPr>
          <w:p w:rsidR="00DF158F" w:rsidRDefault="00BE059B">
            <w:pPr>
              <w:spacing w:line="360" w:lineRule="auto"/>
              <w:jc w:val="center"/>
              <w:rPr>
                <w:rFonts w:ascii="宋体" w:eastAsia="宋体" w:hAnsi="宋体"/>
                <w:sz w:val="24"/>
                <w:szCs w:val="24"/>
              </w:rPr>
            </w:pPr>
            <w:r>
              <w:rPr>
                <w:rFonts w:ascii="宋体" w:eastAsia="宋体" w:hAnsi="宋体"/>
                <w:noProof/>
                <w:sz w:val="24"/>
                <w:szCs w:val="24"/>
              </w:rPr>
              <w:lastRenderedPageBreak/>
              <w:drawing>
                <wp:inline distT="0" distB="0" distL="0" distR="0">
                  <wp:extent cx="3894455" cy="2506345"/>
                  <wp:effectExtent l="19050" t="0" r="0" b="0"/>
                  <wp:docPr id="2" name="图片 2" descr="C:\Users\Zhangjin\AppData\Local\Temp\151488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jin\AppData\Local\Temp\1514881211(1).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06357" cy="2514329"/>
                          </a:xfrm>
                          <a:prstGeom prst="rect">
                            <a:avLst/>
                          </a:prstGeom>
                          <a:noFill/>
                          <a:ln>
                            <a:noFill/>
                          </a:ln>
                        </pic:spPr>
                      </pic:pic>
                    </a:graphicData>
                  </a:graphic>
                </wp:inline>
              </w:drawing>
            </w:r>
          </w:p>
        </w:tc>
      </w:tr>
      <w:tr w:rsidR="00DF158F">
        <w:tc>
          <w:tcPr>
            <w:tcW w:w="8296" w:type="dxa"/>
          </w:tcPr>
          <w:p w:rsidR="00DF158F" w:rsidRDefault="00BE059B">
            <w:pPr>
              <w:spacing w:line="360" w:lineRule="auto"/>
              <w:jc w:val="center"/>
              <w:rPr>
                <w:rFonts w:ascii="宋体" w:eastAsia="宋体" w:hAnsi="宋体"/>
                <w:b/>
                <w:szCs w:val="21"/>
              </w:rPr>
            </w:pPr>
            <w:r>
              <w:rPr>
                <w:rFonts w:ascii="宋体" w:eastAsia="宋体" w:hAnsi="宋体" w:hint="eastAsia"/>
                <w:b/>
                <w:szCs w:val="21"/>
              </w:rPr>
              <w:t>图2   绿色制造标准体系构建模型</w:t>
            </w:r>
          </w:p>
        </w:tc>
      </w:tr>
    </w:tbl>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绿色制造标准体系充分体现从设计规划到评价服务等重点领域标准的制修订，建材行业根据国家和产业发展规划要求及产业特性确定的绿色制造重点领域如表</w:t>
      </w:r>
      <w:r w:rsidR="00ED7FE6">
        <w:rPr>
          <w:rFonts w:ascii="宋体" w:eastAsia="宋体" w:hAnsi="宋体" w:hint="eastAsia"/>
          <w:sz w:val="24"/>
          <w:szCs w:val="24"/>
        </w:rPr>
        <w:t>2</w:t>
      </w:r>
      <w:r>
        <w:rPr>
          <w:rFonts w:ascii="宋体" w:eastAsia="宋体" w:hAnsi="宋体" w:hint="eastAsia"/>
          <w:sz w:val="24"/>
          <w:szCs w:val="24"/>
        </w:rPr>
        <w:t>所示。</w:t>
      </w:r>
    </w:p>
    <w:p w:rsidR="00DF158F" w:rsidRDefault="00BE059B" w:rsidP="00045C03">
      <w:pPr>
        <w:spacing w:beforeLines="50" w:afterLines="30"/>
        <w:jc w:val="center"/>
        <w:rPr>
          <w:b/>
          <w:szCs w:val="21"/>
        </w:rPr>
      </w:pPr>
      <w:r>
        <w:rPr>
          <w:rFonts w:hint="eastAsia"/>
          <w:b/>
          <w:szCs w:val="21"/>
        </w:rPr>
        <w:t>表</w:t>
      </w:r>
      <w:r w:rsidR="00ED7FE6">
        <w:rPr>
          <w:rFonts w:hint="eastAsia"/>
          <w:b/>
          <w:szCs w:val="21"/>
        </w:rPr>
        <w:t>2</w:t>
      </w:r>
      <w:r>
        <w:rPr>
          <w:rFonts w:hint="eastAsia"/>
          <w:b/>
          <w:szCs w:val="21"/>
        </w:rPr>
        <w:t xml:space="preserve">  建材行业绿色制造重点领域</w:t>
      </w:r>
    </w:p>
    <w:tbl>
      <w:tblPr>
        <w:tblStyle w:val="ae"/>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3"/>
        <w:gridCol w:w="4085"/>
        <w:gridCol w:w="4812"/>
      </w:tblGrid>
      <w:tr w:rsidR="00DF158F">
        <w:trPr>
          <w:trHeight w:val="73"/>
          <w:jc w:val="center"/>
        </w:trPr>
        <w:tc>
          <w:tcPr>
            <w:tcW w:w="674"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序号</w:t>
            </w:r>
          </w:p>
        </w:tc>
        <w:tc>
          <w:tcPr>
            <w:tcW w:w="4102"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体系位置</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重点领域</w:t>
            </w:r>
          </w:p>
        </w:tc>
      </w:tr>
      <w:tr w:rsidR="00DF158F">
        <w:trPr>
          <w:trHeight w:val="7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1</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综合基础</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绿色技术与工艺</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绿色管理</w:t>
            </w:r>
          </w:p>
        </w:tc>
      </w:tr>
      <w:tr w:rsidR="00DF158F">
        <w:trPr>
          <w:trHeight w:val="7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2</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绿色产品</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绿色产品设计</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减量化</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无害化</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资源化</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生命周期</w:t>
            </w:r>
          </w:p>
        </w:tc>
      </w:tr>
      <w:tr w:rsidR="00DF158F">
        <w:trPr>
          <w:trHeight w:val="7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3</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绿色工厂</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资源节约</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能源节约</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清洁生产</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废物利用</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温室气体</w:t>
            </w:r>
          </w:p>
        </w:tc>
      </w:tr>
      <w:tr w:rsidR="00DF158F">
        <w:trPr>
          <w:trHeight w:val="7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污染物排放</w:t>
            </w:r>
          </w:p>
        </w:tc>
      </w:tr>
      <w:tr w:rsidR="00DF158F">
        <w:trPr>
          <w:trHeight w:val="25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4</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绿色企业</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资源结构</w:t>
            </w:r>
          </w:p>
        </w:tc>
      </w:tr>
      <w:tr w:rsidR="00DF158F">
        <w:trPr>
          <w:trHeight w:val="248"/>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产业结构</w:t>
            </w:r>
          </w:p>
        </w:tc>
      </w:tr>
      <w:tr w:rsidR="00DF158F">
        <w:trPr>
          <w:trHeight w:val="25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5</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绿色园区</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生态环境及空间布局</w:t>
            </w:r>
          </w:p>
        </w:tc>
      </w:tr>
      <w:tr w:rsidR="00DF158F">
        <w:trPr>
          <w:trHeight w:val="25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产业共生耦合</w:t>
            </w:r>
          </w:p>
        </w:tc>
      </w:tr>
      <w:tr w:rsidR="00DF158F">
        <w:trPr>
          <w:trHeight w:val="25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资源消耗与产出</w:t>
            </w:r>
          </w:p>
        </w:tc>
      </w:tr>
      <w:tr w:rsidR="00DF158F">
        <w:trPr>
          <w:trHeight w:val="253"/>
          <w:jc w:val="center"/>
        </w:trPr>
        <w:tc>
          <w:tcPr>
            <w:tcW w:w="674"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6</w:t>
            </w:r>
          </w:p>
        </w:tc>
        <w:tc>
          <w:tcPr>
            <w:tcW w:w="4102" w:type="dxa"/>
            <w:vMerge w:val="restart"/>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绿色供应链</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绿色供应链构建</w:t>
            </w:r>
          </w:p>
        </w:tc>
      </w:tr>
      <w:tr w:rsidR="00DF158F">
        <w:trPr>
          <w:trHeight w:val="248"/>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绿色采购</w:t>
            </w:r>
          </w:p>
        </w:tc>
      </w:tr>
      <w:tr w:rsidR="00DF158F">
        <w:trPr>
          <w:trHeight w:val="253"/>
          <w:jc w:val="center"/>
        </w:trPr>
        <w:tc>
          <w:tcPr>
            <w:tcW w:w="674" w:type="dxa"/>
            <w:vMerge/>
            <w:vAlign w:val="center"/>
          </w:tcPr>
          <w:p w:rsidR="00DF158F" w:rsidRDefault="00DF158F">
            <w:pPr>
              <w:spacing w:line="380" w:lineRule="exact"/>
              <w:jc w:val="center"/>
              <w:rPr>
                <w:rFonts w:ascii="宋体" w:eastAsia="宋体" w:hAnsi="宋体"/>
                <w:szCs w:val="21"/>
              </w:rPr>
            </w:pPr>
          </w:p>
        </w:tc>
        <w:tc>
          <w:tcPr>
            <w:tcW w:w="4102" w:type="dxa"/>
            <w:vMerge/>
            <w:vAlign w:val="center"/>
          </w:tcPr>
          <w:p w:rsidR="00DF158F" w:rsidRDefault="00DF158F">
            <w:pPr>
              <w:spacing w:line="380" w:lineRule="exact"/>
              <w:jc w:val="center"/>
              <w:rPr>
                <w:rFonts w:ascii="宋体" w:eastAsia="宋体" w:hAnsi="宋体"/>
                <w:szCs w:val="21"/>
              </w:rPr>
            </w:pP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回收及综合利用</w:t>
            </w:r>
          </w:p>
        </w:tc>
      </w:tr>
      <w:tr w:rsidR="00DF158F">
        <w:trPr>
          <w:trHeight w:val="259"/>
          <w:jc w:val="center"/>
        </w:trPr>
        <w:tc>
          <w:tcPr>
            <w:tcW w:w="674"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7</w:t>
            </w:r>
          </w:p>
        </w:tc>
        <w:tc>
          <w:tcPr>
            <w:tcW w:w="4102"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绿色评价与服务</w:t>
            </w:r>
          </w:p>
        </w:tc>
        <w:tc>
          <w:tcPr>
            <w:tcW w:w="4831" w:type="dxa"/>
            <w:vAlign w:val="center"/>
          </w:tcPr>
          <w:p w:rsidR="00DF158F" w:rsidRDefault="00BE059B">
            <w:pPr>
              <w:spacing w:line="380" w:lineRule="exact"/>
              <w:jc w:val="center"/>
              <w:rPr>
                <w:rFonts w:ascii="宋体" w:eastAsia="宋体" w:hAnsi="宋体"/>
                <w:szCs w:val="21"/>
              </w:rPr>
            </w:pPr>
            <w:r>
              <w:rPr>
                <w:rFonts w:ascii="宋体" w:eastAsia="宋体" w:hAnsi="宋体" w:hint="eastAsia"/>
                <w:szCs w:val="21"/>
              </w:rPr>
              <w:t>绿色评价、标识与报告</w:t>
            </w:r>
          </w:p>
        </w:tc>
      </w:tr>
    </w:tbl>
    <w:p w:rsidR="00DF158F" w:rsidRDefault="00BE059B">
      <w:pPr>
        <w:pStyle w:val="2"/>
        <w:spacing w:before="120" w:after="120" w:line="500" w:lineRule="exact"/>
        <w:rPr>
          <w:rFonts w:ascii="宋体" w:eastAsia="宋体" w:hAnsi="宋体" w:cs="宋体"/>
        </w:rPr>
      </w:pPr>
      <w:r>
        <w:rPr>
          <w:rFonts w:ascii="宋体" w:eastAsia="宋体" w:hAnsi="宋体" w:cs="宋体" w:hint="eastAsia"/>
        </w:rPr>
        <w:t>2.2.2 建材行业相关绿色工厂评价标准研究情况</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绿色评价、标识与报告是建材行业在“绿色评价与服务</w:t>
      </w:r>
      <w:r>
        <w:rPr>
          <w:rFonts w:ascii="宋体" w:eastAsia="宋体" w:hAnsi="宋体"/>
          <w:sz w:val="24"/>
          <w:szCs w:val="24"/>
        </w:rPr>
        <w:t>”</w:t>
      </w:r>
      <w:r>
        <w:rPr>
          <w:rFonts w:ascii="宋体" w:eastAsia="宋体" w:hAnsi="宋体" w:hint="eastAsia"/>
          <w:sz w:val="24"/>
          <w:szCs w:val="24"/>
        </w:rPr>
        <w:t>环节的重点领域。根据绿色工厂评价标准体系整体架构，分为通则、导则、技术要求三个层次。《绿色工厂评价通则》（GB/T36132-2018，以下简称《通则》）作为绿色工厂评价的顶层设计标准，已于2018年正式发布实施，标准中确定了基本的评价模型，以及评价指标框架体系。根据建材行业绿色工厂评价标准整体规划，2017年，工信部批准水泥、玻璃、建筑陶瓷、卫生陶瓷行业绿色工厂评价导则行业标准立项，2018年，又相继批准耐火材料、墙体材料、水泥制品等行业标准立项。完成导则编制后，各行业应依据导则分别制定不同产品或工艺类型的绿色工厂评价要求，这样就形成了以通则——导则——要求、产品——工厂——产业链——园区两条主线搭建的建材行业绿色标准框架。</w:t>
      </w:r>
    </w:p>
    <w:p w:rsidR="00DF158F" w:rsidRDefault="00BE059B" w:rsidP="00045C03">
      <w:pPr>
        <w:pStyle w:val="1"/>
        <w:spacing w:beforeLines="50" w:afterLines="50" w:line="500" w:lineRule="exact"/>
        <w:rPr>
          <w:sz w:val="30"/>
          <w:szCs w:val="30"/>
        </w:rPr>
      </w:pPr>
      <w:r>
        <w:rPr>
          <w:rFonts w:hint="eastAsia"/>
          <w:sz w:val="30"/>
          <w:szCs w:val="30"/>
        </w:rPr>
        <w:t xml:space="preserve">3 </w:t>
      </w:r>
      <w:r>
        <w:rPr>
          <w:rFonts w:hint="eastAsia"/>
          <w:sz w:val="30"/>
          <w:szCs w:val="30"/>
        </w:rPr>
        <w:t>标准制定的基本原则</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本着与绿色制造基本要求、相关政策、法规、标准、管理办法等协调一致的原则，标准的制定以《绿色制造工程实施指南（2016-2020）》、《绿色工厂评价通则》（GB/T 36132-2018）、《墙体材料行业绿色工厂评价导则》（JC/T XXXX-2020）等相关方针政策、标准规范为依据，同时考虑行业清洁生产、安全生产标准化等相关标准，确保指标设置的协调一致。为了能够最大化突出工厂的绿色属性，评价边界覆盖从原材料进厂到产品出厂的生命周期过程，从基础设施、管理体系、能源与资源投入、产品、环境排放、综合绩效等不同维度全面评价。</w:t>
      </w:r>
    </w:p>
    <w:p w:rsidR="00DF158F" w:rsidRDefault="00BE059B" w:rsidP="00045C03">
      <w:pPr>
        <w:pStyle w:val="1"/>
        <w:spacing w:beforeLines="50" w:afterLines="50" w:line="500" w:lineRule="exact"/>
        <w:rPr>
          <w:sz w:val="30"/>
          <w:szCs w:val="30"/>
        </w:rPr>
      </w:pPr>
      <w:r>
        <w:rPr>
          <w:rFonts w:hint="eastAsia"/>
          <w:sz w:val="30"/>
          <w:szCs w:val="30"/>
        </w:rPr>
        <w:t xml:space="preserve">4 </w:t>
      </w:r>
      <w:r>
        <w:rPr>
          <w:rFonts w:hint="eastAsia"/>
          <w:sz w:val="30"/>
          <w:szCs w:val="30"/>
        </w:rPr>
        <w:t>标准的主要技术内容</w:t>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t>4.1 标准框架</w:t>
      </w:r>
    </w:p>
    <w:p w:rsidR="00DF158F" w:rsidRDefault="00BE059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本标准分为范围、规范性引用文件、术语和定义、评价指标体系、评价</w:t>
      </w:r>
      <w:r w:rsidR="00253F3F">
        <w:rPr>
          <w:rFonts w:ascii="宋体" w:eastAsia="宋体" w:hAnsi="宋体" w:hint="eastAsia"/>
          <w:sz w:val="24"/>
          <w:szCs w:val="24"/>
        </w:rPr>
        <w:t>计算</w:t>
      </w:r>
      <w:r>
        <w:rPr>
          <w:rFonts w:ascii="宋体" w:eastAsia="宋体" w:hAnsi="宋体" w:hint="eastAsia"/>
          <w:sz w:val="24"/>
          <w:szCs w:val="24"/>
        </w:rPr>
        <w:t>方法与数据统计</w:t>
      </w:r>
      <w:r w:rsidR="00253F3F">
        <w:rPr>
          <w:rFonts w:ascii="宋体" w:eastAsia="宋体" w:hAnsi="宋体" w:hint="eastAsia"/>
          <w:sz w:val="24"/>
          <w:szCs w:val="24"/>
        </w:rPr>
        <w:t>、判定</w:t>
      </w:r>
      <w:r>
        <w:rPr>
          <w:rFonts w:ascii="宋体" w:eastAsia="宋体" w:hAnsi="宋体" w:hint="eastAsia"/>
          <w:sz w:val="24"/>
          <w:szCs w:val="24"/>
        </w:rPr>
        <w:t>共</w:t>
      </w:r>
      <w:r w:rsidR="00253F3F">
        <w:rPr>
          <w:rFonts w:ascii="宋体" w:eastAsia="宋体" w:hAnsi="宋体" w:hint="eastAsia"/>
          <w:sz w:val="24"/>
          <w:szCs w:val="24"/>
        </w:rPr>
        <w:t>6</w:t>
      </w:r>
      <w:r>
        <w:rPr>
          <w:rFonts w:ascii="宋体" w:eastAsia="宋体" w:hAnsi="宋体" w:hint="eastAsia"/>
          <w:sz w:val="24"/>
          <w:szCs w:val="24"/>
        </w:rPr>
        <w:t>个章节，主要阐述墙体板材行业绿色工厂评价的指标体系框架以及评分方法与数据统计方法。附录A与附录B作为规范性附录，主要明确了墙体板材行业绿色工厂评价的基本要求和评价指标</w:t>
      </w:r>
      <w:r w:rsidR="00253F3F">
        <w:rPr>
          <w:rFonts w:ascii="宋体" w:eastAsia="宋体" w:hAnsi="宋体" w:hint="eastAsia"/>
          <w:sz w:val="24"/>
          <w:szCs w:val="24"/>
        </w:rPr>
        <w:t>要求</w:t>
      </w:r>
      <w:r>
        <w:rPr>
          <w:rFonts w:ascii="宋体" w:eastAsia="宋体" w:hAnsi="宋体" w:hint="eastAsia"/>
          <w:sz w:val="24"/>
          <w:szCs w:val="24"/>
        </w:rPr>
        <w:t>，是绿色工厂评价的主要依据</w:t>
      </w:r>
      <w:r w:rsidR="00253F3F">
        <w:rPr>
          <w:rFonts w:ascii="宋体" w:eastAsia="宋体" w:hAnsi="宋体" w:hint="eastAsia"/>
          <w:sz w:val="24"/>
          <w:szCs w:val="24"/>
        </w:rPr>
        <w:t>；附录C给出了</w:t>
      </w:r>
      <w:r w:rsidR="00045C03">
        <w:rPr>
          <w:rFonts w:ascii="宋体" w:eastAsia="宋体" w:hAnsi="宋体" w:hint="eastAsia"/>
          <w:sz w:val="24"/>
          <w:szCs w:val="24"/>
        </w:rPr>
        <w:t>标准中指标</w:t>
      </w:r>
      <w:r w:rsidR="00253F3F">
        <w:rPr>
          <w:rFonts w:ascii="宋体" w:eastAsia="宋体" w:hAnsi="宋体" w:hint="eastAsia"/>
          <w:sz w:val="24"/>
          <w:szCs w:val="24"/>
        </w:rPr>
        <w:t>计算所</w:t>
      </w:r>
      <w:r w:rsidR="00045C03">
        <w:rPr>
          <w:rFonts w:ascii="宋体" w:eastAsia="宋体" w:hAnsi="宋体" w:hint="eastAsia"/>
          <w:sz w:val="24"/>
          <w:szCs w:val="24"/>
        </w:rPr>
        <w:t>涉及</w:t>
      </w:r>
      <w:r w:rsidR="00253F3F">
        <w:rPr>
          <w:rFonts w:ascii="宋体" w:eastAsia="宋体" w:hAnsi="宋体" w:hint="eastAsia"/>
          <w:sz w:val="24"/>
          <w:szCs w:val="24"/>
        </w:rPr>
        <w:t>的公式；</w:t>
      </w:r>
      <w:r>
        <w:rPr>
          <w:rFonts w:ascii="宋体" w:eastAsia="宋体" w:hAnsi="宋体" w:hint="eastAsia"/>
          <w:sz w:val="24"/>
          <w:szCs w:val="24"/>
        </w:rPr>
        <w:t>附录</w:t>
      </w:r>
      <w:r w:rsidR="00464387">
        <w:rPr>
          <w:rFonts w:ascii="宋体" w:eastAsia="宋体" w:hAnsi="宋体" w:hint="eastAsia"/>
          <w:sz w:val="24"/>
          <w:szCs w:val="24"/>
        </w:rPr>
        <w:t>D</w:t>
      </w:r>
      <w:r>
        <w:rPr>
          <w:rFonts w:ascii="宋体" w:eastAsia="宋体" w:hAnsi="宋体" w:hint="eastAsia"/>
          <w:sz w:val="24"/>
          <w:szCs w:val="24"/>
        </w:rPr>
        <w:t>给出了数据收集</w:t>
      </w:r>
      <w:r w:rsidR="00045C03">
        <w:rPr>
          <w:rFonts w:ascii="宋体" w:eastAsia="宋体" w:hAnsi="宋体" w:hint="eastAsia"/>
          <w:sz w:val="24"/>
          <w:szCs w:val="24"/>
        </w:rPr>
        <w:t>表</w:t>
      </w:r>
      <w:r w:rsidR="00253F3F">
        <w:rPr>
          <w:rFonts w:ascii="宋体" w:eastAsia="宋体" w:hAnsi="宋体" w:hint="eastAsia"/>
          <w:sz w:val="24"/>
          <w:szCs w:val="24"/>
        </w:rPr>
        <w:t>示例</w:t>
      </w:r>
      <w:r>
        <w:rPr>
          <w:rFonts w:ascii="宋体" w:eastAsia="宋体" w:hAnsi="宋体" w:hint="eastAsia"/>
          <w:sz w:val="24"/>
          <w:szCs w:val="24"/>
        </w:rPr>
        <w:t>。</w:t>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lastRenderedPageBreak/>
        <w:t>4.2 范围</w:t>
      </w:r>
    </w:p>
    <w:p w:rsidR="00DF158F" w:rsidRDefault="00BE059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本标准适用于墙体</w:t>
      </w:r>
      <w:r w:rsidR="00253F3F">
        <w:rPr>
          <w:rFonts w:ascii="宋体" w:eastAsia="宋体" w:hAnsi="宋体" w:hint="eastAsia"/>
          <w:sz w:val="24"/>
          <w:szCs w:val="24"/>
        </w:rPr>
        <w:t>板材</w:t>
      </w:r>
      <w:r>
        <w:rPr>
          <w:rFonts w:ascii="宋体" w:eastAsia="宋体" w:hAnsi="宋体" w:hint="eastAsia"/>
          <w:sz w:val="24"/>
          <w:szCs w:val="24"/>
        </w:rPr>
        <w:t>行业绿色工厂的创建及评价，可对工厂的绿色化创建水平进行综合量化的评估。</w:t>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t>4.3 规范性引用文件</w:t>
      </w:r>
    </w:p>
    <w:p w:rsidR="00DF158F" w:rsidRDefault="00BE059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列出标准中所有被引用文件的文件号、名称，凡是注日期的引用文件，仅注日期的版本适用于本标准，凡是不注日期的引用文件，其最新版本适用于本标准。</w:t>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t>4.4 术语和定义</w:t>
      </w:r>
    </w:p>
    <w:p w:rsidR="00DF158F" w:rsidRDefault="00BE059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《通则》(GB/T 36132-2018)和《墙体材料行业绿色工厂评价导则》界定的术语和定义适用于本标准。</w:t>
      </w:r>
    </w:p>
    <w:p w:rsidR="00DF158F" w:rsidRDefault="00BE059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本标准对</w:t>
      </w:r>
      <w:r>
        <w:rPr>
          <w:rFonts w:ascii="宋体" w:eastAsia="宋体" w:hAnsi="宋体" w:hint="eastAsia"/>
          <w:b/>
          <w:sz w:val="24"/>
          <w:szCs w:val="24"/>
        </w:rPr>
        <w:t>“3.1 墙体板材行业绿色工厂”</w:t>
      </w:r>
      <w:r>
        <w:rPr>
          <w:rFonts w:ascii="宋体" w:eastAsia="宋体" w:hAnsi="宋体" w:hint="eastAsia"/>
          <w:sz w:val="24"/>
          <w:szCs w:val="24"/>
        </w:rPr>
        <w:t>进行了定义，即生产建筑用条板</w:t>
      </w:r>
      <w:r w:rsidR="00464387">
        <w:rPr>
          <w:rFonts w:ascii="宋体" w:eastAsia="宋体" w:hAnsi="宋体" w:hint="eastAsia"/>
          <w:sz w:val="24"/>
          <w:szCs w:val="24"/>
        </w:rPr>
        <w:t>(平板)</w:t>
      </w:r>
      <w:r>
        <w:rPr>
          <w:rFonts w:ascii="宋体" w:eastAsia="宋体" w:hAnsi="宋体" w:hint="eastAsia"/>
          <w:sz w:val="24"/>
          <w:szCs w:val="24"/>
        </w:rPr>
        <w:t>并实现了用地集约化、原料无害化、生产洁净化、废物资源化、能源低碳化的生产工厂，该定义借鉴了《导则》对“墙体材料行业绿色工厂”的定义。此外，</w:t>
      </w:r>
      <w:r w:rsidR="00335D3D">
        <w:rPr>
          <w:rFonts w:ascii="宋体" w:eastAsia="宋体" w:hAnsi="宋体" w:hint="eastAsia"/>
          <w:sz w:val="24"/>
          <w:szCs w:val="24"/>
        </w:rPr>
        <w:t>标准还</w:t>
      </w:r>
      <w:r>
        <w:rPr>
          <w:rFonts w:ascii="宋体" w:eastAsia="宋体" w:hAnsi="宋体" w:hint="eastAsia"/>
          <w:sz w:val="24"/>
          <w:szCs w:val="24"/>
        </w:rPr>
        <w:t>给出了</w:t>
      </w:r>
      <w:r w:rsidR="00253F3F">
        <w:rPr>
          <w:rFonts w:ascii="宋体" w:eastAsia="宋体" w:hAnsi="宋体" w:hint="eastAsia"/>
          <w:sz w:val="24"/>
          <w:szCs w:val="24"/>
        </w:rPr>
        <w:t>“</w:t>
      </w:r>
      <w:r w:rsidRPr="00253F3F">
        <w:rPr>
          <w:rFonts w:ascii="宋体" w:eastAsia="宋体" w:hAnsi="宋体" w:hint="eastAsia"/>
          <w:b/>
          <w:sz w:val="24"/>
          <w:szCs w:val="24"/>
        </w:rPr>
        <w:t>评价报告期</w:t>
      </w:r>
      <w:r w:rsidR="00253F3F">
        <w:rPr>
          <w:rFonts w:ascii="宋体" w:eastAsia="宋体" w:hAnsi="宋体" w:hint="eastAsia"/>
          <w:sz w:val="24"/>
          <w:szCs w:val="24"/>
        </w:rPr>
        <w:t>”</w:t>
      </w:r>
      <w:r>
        <w:rPr>
          <w:rFonts w:ascii="宋体" w:eastAsia="宋体" w:hAnsi="宋体" w:hint="eastAsia"/>
          <w:sz w:val="24"/>
          <w:szCs w:val="24"/>
        </w:rPr>
        <w:t>的定义</w:t>
      </w:r>
      <w:r w:rsidR="00253F3F">
        <w:rPr>
          <w:rFonts w:ascii="宋体" w:eastAsia="宋体" w:hAnsi="宋体" w:hint="eastAsia"/>
          <w:sz w:val="24"/>
          <w:szCs w:val="24"/>
        </w:rPr>
        <w:t>，</w:t>
      </w:r>
      <w:r w:rsidR="00464387">
        <w:rPr>
          <w:rFonts w:ascii="宋体" w:eastAsia="宋体" w:hAnsi="宋体" w:hint="eastAsia"/>
          <w:sz w:val="24"/>
          <w:szCs w:val="24"/>
        </w:rPr>
        <w:t>通常评价期为最近的1个自然年</w:t>
      </w:r>
      <w:r w:rsidR="00335D3D">
        <w:rPr>
          <w:rFonts w:ascii="宋体" w:eastAsia="宋体" w:hAnsi="宋体" w:hint="eastAsia"/>
          <w:sz w:val="24"/>
          <w:szCs w:val="24"/>
        </w:rPr>
        <w:t>连续12月</w:t>
      </w:r>
      <w:r w:rsidR="00464387">
        <w:rPr>
          <w:rFonts w:ascii="宋体" w:eastAsia="宋体" w:hAnsi="宋体" w:hint="eastAsia"/>
          <w:sz w:val="24"/>
          <w:szCs w:val="24"/>
        </w:rPr>
        <w:t>，</w:t>
      </w:r>
      <w:r w:rsidR="00335D3D">
        <w:rPr>
          <w:rFonts w:ascii="宋体" w:eastAsia="宋体" w:hAnsi="宋体" w:hint="eastAsia"/>
          <w:sz w:val="24"/>
          <w:szCs w:val="24"/>
        </w:rPr>
        <w:t>因</w:t>
      </w:r>
      <w:r w:rsidR="00253F3F">
        <w:rPr>
          <w:rFonts w:ascii="宋体" w:eastAsia="宋体" w:hAnsi="宋体" w:hint="eastAsia"/>
          <w:sz w:val="24"/>
          <w:szCs w:val="24"/>
        </w:rPr>
        <w:t>考虑到部分企业的数据统计周期可能与自然年有偏差</w:t>
      </w:r>
      <w:r w:rsidR="00335D3D">
        <w:rPr>
          <w:rFonts w:ascii="宋体" w:eastAsia="宋体" w:hAnsi="宋体" w:hint="eastAsia"/>
          <w:sz w:val="24"/>
          <w:szCs w:val="24"/>
        </w:rPr>
        <w:t>或是因为其他因素影响导致无法完整获取1 个自然年连续12个月的数据，因此本标准定义的</w:t>
      </w:r>
      <w:r w:rsidR="00253F3F">
        <w:rPr>
          <w:rFonts w:ascii="宋体" w:eastAsia="宋体" w:hAnsi="宋体" w:hint="eastAsia"/>
          <w:sz w:val="24"/>
          <w:szCs w:val="24"/>
        </w:rPr>
        <w:t>评价期</w:t>
      </w:r>
      <w:r w:rsidR="00464387">
        <w:rPr>
          <w:rFonts w:ascii="宋体" w:eastAsia="宋体" w:hAnsi="宋体" w:hint="eastAsia"/>
          <w:sz w:val="24"/>
          <w:szCs w:val="24"/>
        </w:rPr>
        <w:t>可根据企业实际生产情况</w:t>
      </w:r>
      <w:r w:rsidR="00335D3D">
        <w:rPr>
          <w:rFonts w:ascii="宋体" w:eastAsia="宋体" w:hAnsi="宋体" w:hint="eastAsia"/>
          <w:sz w:val="24"/>
          <w:szCs w:val="24"/>
        </w:rPr>
        <w:t>进行确定</w:t>
      </w:r>
      <w:r w:rsidR="00464387">
        <w:rPr>
          <w:rFonts w:ascii="宋体" w:eastAsia="宋体" w:hAnsi="宋体" w:hint="eastAsia"/>
          <w:sz w:val="24"/>
          <w:szCs w:val="24"/>
        </w:rPr>
        <w:t>。</w:t>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t>4.5  评价指标体系</w:t>
      </w:r>
    </w:p>
    <w:p w:rsidR="00DF158F" w:rsidRDefault="00BE059B" w:rsidP="0058506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本标准的评价指标体系遵循《通则》指标体系框架，包括基本要求和评价指标要求两部分。</w:t>
      </w:r>
      <w:r w:rsidR="0058506C">
        <w:rPr>
          <w:rFonts w:ascii="宋体" w:eastAsia="宋体" w:hAnsi="宋体" w:hint="eastAsia"/>
          <w:sz w:val="24"/>
          <w:szCs w:val="24"/>
        </w:rPr>
        <w:t>其中，基本要求包括基础合规性要求与基础管理职责要求，基本要求不参与评分；评价指标要求分为基础设施、管理体系、能源与资源的投入、产品、环境排放、综合绩效六项一级指标，总评分满分为100分。</w:t>
      </w:r>
      <w:r>
        <w:rPr>
          <w:rFonts w:ascii="宋体" w:eastAsia="宋体" w:hAnsi="宋体" w:hint="eastAsia"/>
          <w:sz w:val="24"/>
          <w:szCs w:val="24"/>
        </w:rPr>
        <w:t>标准以《导则》规定的指标框架（见图3）结合行业特点，在基本要求、基础设施、管理体系、能源与资源投入、产品、环境排放、综合绩效七个方面明确了墙体板材行业绿色工厂的评价指标和评分体系。其中基本要求是企业进行绿色工厂评价应满足的前置条件，一票否决；基础设施、管理体系、能源与资源投入、产品、环境排放、综合绩效为六个一级指标，在一级指标下设二级指标，二级指标再分解为若干评价要求。评价要求分为必选要求和可选要求，必选要求为要求工厂应达到的基础性要求，必选要求不达标不能评价为绿色工厂，可选要求为希望工厂努力达到的提高性要求。</w:t>
      </w:r>
      <w:r w:rsidR="001665D1">
        <w:rPr>
          <w:rFonts w:ascii="宋体" w:eastAsia="宋体" w:hAnsi="宋体" w:hint="eastAsia"/>
          <w:sz w:val="24"/>
          <w:szCs w:val="24"/>
        </w:rPr>
        <w:t>在附表B.1中必选要求以“</w:t>
      </w:r>
      <w:r w:rsidR="001665D1" w:rsidRPr="001665D1">
        <w:rPr>
          <w:rFonts w:ascii="宋体" w:eastAsia="宋体" w:hAnsi="宋体" w:hint="eastAsia"/>
          <w:sz w:val="24"/>
          <w:szCs w:val="24"/>
          <w:vertAlign w:val="superscript"/>
        </w:rPr>
        <w:t>*</w:t>
      </w:r>
      <w:r w:rsidR="001665D1">
        <w:rPr>
          <w:rFonts w:ascii="宋体" w:eastAsia="宋体" w:hAnsi="宋体" w:hint="eastAsia"/>
          <w:sz w:val="24"/>
          <w:szCs w:val="24"/>
        </w:rPr>
        <w:t>”标记。</w:t>
      </w:r>
    </w:p>
    <w:p w:rsidR="00253F3F" w:rsidRDefault="00253F3F">
      <w:pPr>
        <w:spacing w:line="500" w:lineRule="exact"/>
        <w:ind w:firstLineChars="200" w:firstLine="480"/>
        <w:rPr>
          <w:rFonts w:ascii="宋体" w:eastAsia="宋体" w:hAnsi="宋体"/>
          <w:sz w:val="24"/>
          <w:szCs w:val="24"/>
        </w:rPr>
      </w:pPr>
    </w:p>
    <w:p w:rsidR="00DF158F" w:rsidRDefault="00BE059B">
      <w:pPr>
        <w:ind w:firstLineChars="200" w:firstLine="480"/>
        <w:jc w:val="center"/>
        <w:rPr>
          <w:rFonts w:ascii="宋体" w:eastAsia="宋体" w:hAnsi="宋体"/>
          <w:sz w:val="24"/>
          <w:szCs w:val="24"/>
        </w:rPr>
      </w:pPr>
      <w:r>
        <w:rPr>
          <w:rFonts w:ascii="宋体" w:eastAsia="宋体" w:hAnsi="宋体"/>
          <w:noProof/>
          <w:sz w:val="24"/>
          <w:szCs w:val="24"/>
        </w:rPr>
        <w:lastRenderedPageBreak/>
        <w:drawing>
          <wp:inline distT="0" distB="0" distL="0" distR="0">
            <wp:extent cx="4468495" cy="2679700"/>
            <wp:effectExtent l="0" t="0" r="8255" b="0"/>
            <wp:docPr id="4" name="图片 13" descr="C:\Users\dell\AppData\Local\Temp\ksohtml1201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C:\Users\dell\AppData\Local\Temp\ksohtml12016\wps1.png"/>
                    <pic:cNvPicPr>
                      <a:picLocks noChangeAspect="1" noChangeArrowheads="1"/>
                    </pic:cNvPicPr>
                  </pic:nvPicPr>
                  <pic:blipFill>
                    <a:blip r:embed="rId11" cstate="print"/>
                    <a:srcRect/>
                    <a:stretch>
                      <a:fillRect/>
                    </a:stretch>
                  </pic:blipFill>
                  <pic:spPr>
                    <a:xfrm>
                      <a:off x="0" y="0"/>
                      <a:ext cx="4468495" cy="2679700"/>
                    </a:xfrm>
                    <a:prstGeom prst="rect">
                      <a:avLst/>
                    </a:prstGeom>
                    <a:noFill/>
                    <a:ln w="9525">
                      <a:noFill/>
                      <a:miter lim="800000"/>
                      <a:headEnd/>
                      <a:tailEnd/>
                    </a:ln>
                  </pic:spPr>
                </pic:pic>
              </a:graphicData>
            </a:graphic>
          </wp:inline>
        </w:drawing>
      </w:r>
    </w:p>
    <w:p w:rsidR="00DF158F" w:rsidRDefault="00BE059B">
      <w:pPr>
        <w:pStyle w:val="2"/>
        <w:spacing w:before="0" w:after="120" w:line="500" w:lineRule="exact"/>
        <w:rPr>
          <w:rFonts w:ascii="宋体" w:eastAsia="宋体" w:hAnsi="宋体" w:cstheme="minorBidi"/>
          <w:szCs w:val="24"/>
        </w:rPr>
      </w:pPr>
      <w:r>
        <w:rPr>
          <w:rFonts w:ascii="宋体" w:eastAsia="宋体" w:hAnsi="宋体" w:cstheme="minorBidi" w:hint="eastAsia"/>
          <w:szCs w:val="24"/>
        </w:rPr>
        <w:t>4.6  评分</w:t>
      </w:r>
      <w:r w:rsidR="008F36C1">
        <w:rPr>
          <w:rFonts w:ascii="宋体" w:eastAsia="宋体" w:hAnsi="宋体" w:cstheme="minorBidi" w:hint="eastAsia"/>
          <w:szCs w:val="24"/>
        </w:rPr>
        <w:t>计算</w:t>
      </w:r>
      <w:r>
        <w:rPr>
          <w:rFonts w:ascii="宋体" w:eastAsia="宋体" w:hAnsi="宋体" w:cstheme="minorBidi" w:hint="eastAsia"/>
          <w:szCs w:val="24"/>
        </w:rPr>
        <w:t>方法与数据统计</w:t>
      </w:r>
    </w:p>
    <w:p w:rsidR="00DF158F" w:rsidRDefault="00BE059B">
      <w:pPr>
        <w:pStyle w:val="2"/>
        <w:spacing w:before="0" w:after="120" w:line="500" w:lineRule="exact"/>
        <w:rPr>
          <w:rFonts w:ascii="宋体" w:eastAsia="宋体" w:hAnsi="宋体" w:cstheme="minorBidi"/>
          <w:b w:val="0"/>
          <w:bCs w:val="0"/>
          <w:szCs w:val="24"/>
        </w:rPr>
      </w:pPr>
      <w:r>
        <w:rPr>
          <w:rFonts w:ascii="宋体" w:eastAsia="宋体" w:hAnsi="宋体" w:cstheme="minorBidi" w:hint="eastAsia"/>
          <w:b w:val="0"/>
          <w:bCs w:val="0"/>
          <w:szCs w:val="24"/>
        </w:rPr>
        <w:t>4.6.1  评分计算方法</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墙体板材行业绿色工厂评价要求分为</w:t>
      </w:r>
      <w:r w:rsidR="001665D1">
        <w:rPr>
          <w:rFonts w:ascii="宋体" w:eastAsia="宋体" w:hAnsi="宋体" w:hint="eastAsia"/>
          <w:sz w:val="24"/>
          <w:szCs w:val="24"/>
        </w:rPr>
        <w:t>两</w:t>
      </w:r>
      <w:r>
        <w:rPr>
          <w:rFonts w:ascii="宋体" w:eastAsia="宋体" w:hAnsi="宋体" w:hint="eastAsia"/>
          <w:sz w:val="24"/>
          <w:szCs w:val="24"/>
        </w:rPr>
        <w:t>类，一类为不参与评分的基本要求，工厂需全部满足方可进行评价；第二类为</w:t>
      </w:r>
      <w:r w:rsidR="001665D1">
        <w:rPr>
          <w:rFonts w:ascii="宋体" w:eastAsia="宋体" w:hAnsi="宋体" w:hint="eastAsia"/>
          <w:sz w:val="24"/>
          <w:szCs w:val="24"/>
        </w:rPr>
        <w:t>评价指标要求</w:t>
      </w:r>
      <w:r>
        <w:rPr>
          <w:rFonts w:ascii="宋体" w:eastAsia="宋体" w:hAnsi="宋体" w:hint="eastAsia"/>
          <w:sz w:val="24"/>
          <w:szCs w:val="24"/>
        </w:rPr>
        <w:t>，视</w:t>
      </w:r>
      <w:r w:rsidR="001665D1">
        <w:rPr>
          <w:rFonts w:ascii="宋体" w:eastAsia="宋体" w:hAnsi="宋体" w:hint="eastAsia"/>
          <w:sz w:val="24"/>
          <w:szCs w:val="24"/>
        </w:rPr>
        <w:t>与</w:t>
      </w:r>
      <w:r>
        <w:rPr>
          <w:rFonts w:ascii="宋体" w:eastAsia="宋体" w:hAnsi="宋体" w:hint="eastAsia"/>
          <w:sz w:val="24"/>
          <w:szCs w:val="24"/>
        </w:rPr>
        <w:t>判定准则的</w:t>
      </w:r>
      <w:r w:rsidR="001665D1">
        <w:rPr>
          <w:rFonts w:ascii="宋体" w:eastAsia="宋体" w:hAnsi="宋体" w:hint="eastAsia"/>
          <w:sz w:val="24"/>
          <w:szCs w:val="24"/>
        </w:rPr>
        <w:t>满足程度，其中的必选要求</w:t>
      </w:r>
      <w:r>
        <w:rPr>
          <w:rFonts w:ascii="宋体" w:eastAsia="宋体" w:hAnsi="宋体" w:hint="eastAsia"/>
          <w:sz w:val="24"/>
          <w:szCs w:val="24"/>
        </w:rPr>
        <w:t>得分为 0 或者满分</w:t>
      </w:r>
      <w:r w:rsidR="001665D1">
        <w:rPr>
          <w:rFonts w:ascii="宋体" w:eastAsia="宋体" w:hAnsi="宋体" w:hint="eastAsia"/>
          <w:sz w:val="24"/>
          <w:szCs w:val="24"/>
        </w:rPr>
        <w:t>，可选要求得分在0分到满分之间取值</w:t>
      </w:r>
      <w:r>
        <w:rPr>
          <w:rFonts w:ascii="宋体" w:eastAsia="宋体" w:hAnsi="宋体" w:hint="eastAsia"/>
          <w:sz w:val="24"/>
          <w:szCs w:val="24"/>
        </w:rPr>
        <w:t>。</w:t>
      </w:r>
      <w:r w:rsidR="001665D1">
        <w:rPr>
          <w:rFonts w:ascii="宋体" w:eastAsia="宋体" w:hAnsi="宋体" w:hint="eastAsia"/>
          <w:sz w:val="24"/>
          <w:szCs w:val="24"/>
        </w:rPr>
        <w:t>当某项必选要求不适用时，应将该项评价要求按零分计，在总分值中扣除该项分值，按公式计算出归一化系数，将评价总得分乘以归一化系数进行修正。可选要求作为体现绿色工厂先进性的要求，不应对其做出不适用的判定。</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指标体系对一级指标以及二级指标共设置两层权重，通过逐级加权得出最终得分。在绿色工厂评价的过程中，一级指标权重的确定是体现各不同行业差异的关键所在。在 2016 年开始的工信部绿色制造示范名单推荐工作中，工信部依据《绿色工厂评价要求》（工信厅节函 2016[586]号）制定了一套各行业通行的一级指标体系，如表</w:t>
      </w:r>
      <w:r w:rsidR="00ED7FE6">
        <w:rPr>
          <w:rFonts w:ascii="宋体" w:eastAsia="宋体" w:hAnsi="宋体" w:hint="eastAsia"/>
          <w:sz w:val="24"/>
          <w:szCs w:val="24"/>
        </w:rPr>
        <w:t>3</w:t>
      </w:r>
      <w:r>
        <w:rPr>
          <w:rFonts w:ascii="宋体" w:eastAsia="宋体" w:hAnsi="宋体" w:hint="eastAsia"/>
          <w:sz w:val="24"/>
          <w:szCs w:val="24"/>
        </w:rPr>
        <w:t>所示。</w:t>
      </w:r>
    </w:p>
    <w:p w:rsidR="00DF158F" w:rsidRDefault="00BE059B">
      <w:pPr>
        <w:pStyle w:val="af0"/>
        <w:spacing w:line="400" w:lineRule="exact"/>
        <w:ind w:firstLine="422"/>
        <w:jc w:val="center"/>
        <w:rPr>
          <w:b/>
        </w:rPr>
      </w:pPr>
      <w:r>
        <w:rPr>
          <w:rFonts w:hint="eastAsia"/>
          <w:b/>
        </w:rPr>
        <w:t>表</w:t>
      </w:r>
      <w:r w:rsidR="00ED7FE6">
        <w:rPr>
          <w:rFonts w:hint="eastAsia"/>
          <w:b/>
        </w:rPr>
        <w:t>3</w:t>
      </w:r>
      <w:r>
        <w:rPr>
          <w:rFonts w:hint="eastAsia"/>
          <w:b/>
        </w:rPr>
        <w:t xml:space="preserve"> 一级指标权重</w:t>
      </w:r>
    </w:p>
    <w:tbl>
      <w:tblPr>
        <w:tblStyle w:val="ae"/>
        <w:tblW w:w="9765" w:type="dxa"/>
        <w:tblLook w:val="04A0"/>
      </w:tblPr>
      <w:tblGrid>
        <w:gridCol w:w="1627"/>
        <w:gridCol w:w="1628"/>
        <w:gridCol w:w="1815"/>
        <w:gridCol w:w="1440"/>
        <w:gridCol w:w="1627"/>
        <w:gridCol w:w="1628"/>
      </w:tblGrid>
      <w:tr w:rsidR="00DF158F">
        <w:trPr>
          <w:trHeight w:val="510"/>
        </w:trPr>
        <w:tc>
          <w:tcPr>
            <w:tcW w:w="1627" w:type="dxa"/>
            <w:vAlign w:val="center"/>
          </w:tcPr>
          <w:p w:rsidR="00DF158F" w:rsidRDefault="00BE059B">
            <w:pPr>
              <w:pStyle w:val="af0"/>
              <w:spacing w:line="400" w:lineRule="exact"/>
              <w:ind w:firstLineChars="0" w:firstLine="0"/>
              <w:jc w:val="center"/>
            </w:pPr>
            <w:r>
              <w:rPr>
                <w:rFonts w:hint="eastAsia"/>
              </w:rPr>
              <w:t>基础设施</w:t>
            </w:r>
          </w:p>
        </w:tc>
        <w:tc>
          <w:tcPr>
            <w:tcW w:w="1628" w:type="dxa"/>
            <w:vAlign w:val="center"/>
          </w:tcPr>
          <w:p w:rsidR="00DF158F" w:rsidRDefault="00BE059B">
            <w:pPr>
              <w:pStyle w:val="af0"/>
              <w:spacing w:line="400" w:lineRule="exact"/>
              <w:ind w:firstLineChars="0" w:firstLine="0"/>
              <w:jc w:val="center"/>
            </w:pPr>
            <w:r>
              <w:rPr>
                <w:rFonts w:hint="eastAsia"/>
              </w:rPr>
              <w:t>管理体系</w:t>
            </w:r>
          </w:p>
        </w:tc>
        <w:tc>
          <w:tcPr>
            <w:tcW w:w="1815" w:type="dxa"/>
            <w:vAlign w:val="center"/>
          </w:tcPr>
          <w:p w:rsidR="00DF158F" w:rsidRDefault="00BE059B">
            <w:pPr>
              <w:pStyle w:val="af0"/>
              <w:spacing w:line="400" w:lineRule="exact"/>
              <w:ind w:firstLineChars="0" w:firstLine="0"/>
              <w:jc w:val="center"/>
            </w:pPr>
            <w:r>
              <w:rPr>
                <w:rFonts w:hint="eastAsia"/>
              </w:rPr>
              <w:t>资源与能源投入</w:t>
            </w:r>
          </w:p>
        </w:tc>
        <w:tc>
          <w:tcPr>
            <w:tcW w:w="1440" w:type="dxa"/>
            <w:vAlign w:val="center"/>
          </w:tcPr>
          <w:p w:rsidR="00DF158F" w:rsidRDefault="00BE059B">
            <w:pPr>
              <w:pStyle w:val="af0"/>
              <w:spacing w:line="400" w:lineRule="exact"/>
              <w:ind w:firstLineChars="0" w:firstLine="0"/>
              <w:jc w:val="center"/>
            </w:pPr>
            <w:r>
              <w:rPr>
                <w:rFonts w:hint="eastAsia"/>
              </w:rPr>
              <w:t>产品</w:t>
            </w:r>
          </w:p>
        </w:tc>
        <w:tc>
          <w:tcPr>
            <w:tcW w:w="1627" w:type="dxa"/>
            <w:vAlign w:val="center"/>
          </w:tcPr>
          <w:p w:rsidR="00DF158F" w:rsidRDefault="00BE059B">
            <w:pPr>
              <w:pStyle w:val="af0"/>
              <w:spacing w:line="400" w:lineRule="exact"/>
              <w:ind w:firstLineChars="0" w:firstLine="0"/>
              <w:jc w:val="center"/>
            </w:pPr>
            <w:r>
              <w:rPr>
                <w:rFonts w:hint="eastAsia"/>
              </w:rPr>
              <w:t>环境排放</w:t>
            </w:r>
          </w:p>
        </w:tc>
        <w:tc>
          <w:tcPr>
            <w:tcW w:w="1628" w:type="dxa"/>
            <w:vAlign w:val="center"/>
          </w:tcPr>
          <w:p w:rsidR="00DF158F" w:rsidRDefault="00BE059B">
            <w:pPr>
              <w:pStyle w:val="af0"/>
              <w:spacing w:line="400" w:lineRule="exact"/>
              <w:ind w:firstLineChars="0" w:firstLine="0"/>
              <w:jc w:val="center"/>
            </w:pPr>
            <w:r>
              <w:rPr>
                <w:rFonts w:hint="eastAsia"/>
              </w:rPr>
              <w:t>综合绩效</w:t>
            </w:r>
          </w:p>
        </w:tc>
      </w:tr>
      <w:tr w:rsidR="00DF158F">
        <w:trPr>
          <w:trHeight w:val="349"/>
        </w:trPr>
        <w:tc>
          <w:tcPr>
            <w:tcW w:w="1627" w:type="dxa"/>
            <w:vAlign w:val="center"/>
          </w:tcPr>
          <w:p w:rsidR="00DF158F" w:rsidRDefault="00BE059B">
            <w:pPr>
              <w:pStyle w:val="af0"/>
              <w:spacing w:line="400" w:lineRule="exact"/>
              <w:ind w:firstLineChars="0" w:firstLine="0"/>
              <w:jc w:val="center"/>
            </w:pPr>
            <w:r>
              <w:rPr>
                <w:rFonts w:hint="eastAsia"/>
              </w:rPr>
              <w:t>20%</w:t>
            </w:r>
          </w:p>
        </w:tc>
        <w:tc>
          <w:tcPr>
            <w:tcW w:w="1628" w:type="dxa"/>
            <w:vAlign w:val="center"/>
          </w:tcPr>
          <w:p w:rsidR="00DF158F" w:rsidRDefault="00BE059B">
            <w:pPr>
              <w:pStyle w:val="af0"/>
              <w:spacing w:line="400" w:lineRule="exact"/>
              <w:ind w:firstLineChars="0" w:firstLine="0"/>
              <w:jc w:val="center"/>
            </w:pPr>
            <w:r>
              <w:rPr>
                <w:rFonts w:hint="eastAsia"/>
              </w:rPr>
              <w:t>15%</w:t>
            </w:r>
          </w:p>
        </w:tc>
        <w:tc>
          <w:tcPr>
            <w:tcW w:w="1815" w:type="dxa"/>
            <w:vAlign w:val="center"/>
          </w:tcPr>
          <w:p w:rsidR="00DF158F" w:rsidRDefault="00BE059B">
            <w:pPr>
              <w:pStyle w:val="af0"/>
              <w:spacing w:line="400" w:lineRule="exact"/>
              <w:ind w:firstLineChars="0" w:firstLine="0"/>
              <w:jc w:val="center"/>
            </w:pPr>
            <w:r>
              <w:rPr>
                <w:rFonts w:hint="eastAsia"/>
              </w:rPr>
              <w:t>15%</w:t>
            </w:r>
          </w:p>
        </w:tc>
        <w:tc>
          <w:tcPr>
            <w:tcW w:w="1440" w:type="dxa"/>
            <w:vAlign w:val="center"/>
          </w:tcPr>
          <w:p w:rsidR="00DF158F" w:rsidRDefault="00BE059B">
            <w:pPr>
              <w:pStyle w:val="af0"/>
              <w:spacing w:line="400" w:lineRule="exact"/>
              <w:ind w:firstLineChars="0" w:firstLine="0"/>
              <w:jc w:val="center"/>
            </w:pPr>
            <w:r>
              <w:rPr>
                <w:rFonts w:hint="eastAsia"/>
              </w:rPr>
              <w:t>10%</w:t>
            </w:r>
          </w:p>
        </w:tc>
        <w:tc>
          <w:tcPr>
            <w:tcW w:w="1627" w:type="dxa"/>
            <w:vAlign w:val="center"/>
          </w:tcPr>
          <w:p w:rsidR="00DF158F" w:rsidRDefault="00BE059B">
            <w:pPr>
              <w:pStyle w:val="af0"/>
              <w:spacing w:line="400" w:lineRule="exact"/>
              <w:ind w:firstLineChars="0" w:firstLine="0"/>
              <w:jc w:val="center"/>
            </w:pPr>
            <w:r>
              <w:rPr>
                <w:rFonts w:hint="eastAsia"/>
              </w:rPr>
              <w:t>10%</w:t>
            </w:r>
          </w:p>
        </w:tc>
        <w:tc>
          <w:tcPr>
            <w:tcW w:w="1628" w:type="dxa"/>
            <w:vAlign w:val="center"/>
          </w:tcPr>
          <w:p w:rsidR="00DF158F" w:rsidRDefault="00BE059B">
            <w:pPr>
              <w:pStyle w:val="af0"/>
              <w:spacing w:line="400" w:lineRule="exact"/>
              <w:ind w:firstLineChars="0" w:firstLine="0"/>
              <w:jc w:val="center"/>
            </w:pPr>
            <w:r>
              <w:rPr>
                <w:rFonts w:hint="eastAsia"/>
              </w:rPr>
              <w:t>30%</w:t>
            </w:r>
          </w:p>
        </w:tc>
      </w:tr>
    </w:tbl>
    <w:p w:rsidR="000F589A" w:rsidRDefault="00335D3D" w:rsidP="00700920">
      <w:pPr>
        <w:spacing w:line="360" w:lineRule="auto"/>
        <w:ind w:firstLineChars="200" w:firstLine="480"/>
        <w:rPr>
          <w:rFonts w:ascii="宋体" w:eastAsia="宋体" w:hAnsi="宋体"/>
          <w:sz w:val="24"/>
          <w:szCs w:val="24"/>
        </w:rPr>
      </w:pPr>
      <w:r>
        <w:rPr>
          <w:rFonts w:ascii="宋体" w:eastAsia="宋体" w:hAnsi="宋体" w:hint="eastAsia"/>
          <w:sz w:val="24"/>
          <w:szCs w:val="24"/>
        </w:rPr>
        <w:t>在工信部《绿色工厂评价要求》一级指标权重的基础上，</w:t>
      </w:r>
      <w:r w:rsidR="000F589A">
        <w:rPr>
          <w:rFonts w:ascii="宋体" w:eastAsia="宋体" w:hAnsi="宋体" w:hint="eastAsia"/>
          <w:sz w:val="24"/>
          <w:szCs w:val="24"/>
        </w:rPr>
        <w:t>编制组结合企业反馈、专家意见等，认为在这一权重下，较难体现不同企业之间的差异。由此，编制组考虑在标准中对一级指标权重加以调整，以专业性、先进性为原则，让权重能更好的体现企业差异。</w:t>
      </w:r>
    </w:p>
    <w:p w:rsidR="00700920" w:rsidRDefault="00BE059B" w:rsidP="00700920">
      <w:pPr>
        <w:spacing w:line="360" w:lineRule="auto"/>
        <w:ind w:firstLineChars="200" w:firstLine="480"/>
        <w:rPr>
          <w:rFonts w:ascii="宋体" w:eastAsia="宋体" w:hAnsi="宋体"/>
          <w:sz w:val="24"/>
          <w:szCs w:val="24"/>
        </w:rPr>
      </w:pPr>
      <w:r>
        <w:rPr>
          <w:rFonts w:ascii="宋体" w:eastAsia="宋体" w:hAnsi="宋体" w:hint="eastAsia"/>
          <w:sz w:val="24"/>
          <w:szCs w:val="24"/>
        </w:rPr>
        <w:t>由于目前在墙体板材行业绿色工厂评价工作推进较慢，少有企业参与绿色工厂评价工作，所以在标准进行指标权重分配时主要以专家意见为主，通过对专家意见的讨论</w:t>
      </w:r>
      <w:r w:rsidR="000F589A">
        <w:rPr>
          <w:rFonts w:ascii="宋体" w:eastAsia="宋体" w:hAnsi="宋体" w:hint="eastAsia"/>
          <w:sz w:val="24"/>
          <w:szCs w:val="24"/>
        </w:rPr>
        <w:t>并结合目前墙板行业的发展现状</w:t>
      </w:r>
      <w:r>
        <w:rPr>
          <w:rFonts w:ascii="宋体" w:eastAsia="宋体" w:hAnsi="宋体" w:hint="eastAsia"/>
          <w:sz w:val="24"/>
          <w:szCs w:val="24"/>
        </w:rPr>
        <w:t>，编制组一致认为，</w:t>
      </w:r>
      <w:r w:rsidR="00576C71">
        <w:rPr>
          <w:rFonts w:ascii="宋体" w:eastAsia="宋体" w:hAnsi="宋体" w:hint="eastAsia"/>
          <w:sz w:val="24"/>
          <w:szCs w:val="24"/>
        </w:rPr>
        <w:t>产品质量</w:t>
      </w:r>
      <w:r w:rsidR="000F589A">
        <w:rPr>
          <w:rFonts w:ascii="宋体" w:eastAsia="宋体" w:hAnsi="宋体" w:hint="eastAsia"/>
          <w:sz w:val="24"/>
          <w:szCs w:val="24"/>
        </w:rPr>
        <w:t>、资源与能源投入、</w:t>
      </w:r>
      <w:r w:rsidR="00965849">
        <w:rPr>
          <w:rFonts w:ascii="宋体" w:eastAsia="宋体" w:hAnsi="宋体" w:hint="eastAsia"/>
          <w:sz w:val="24"/>
          <w:szCs w:val="24"/>
        </w:rPr>
        <w:t>综合绩效的重</w:t>
      </w:r>
      <w:r w:rsidR="00965849">
        <w:rPr>
          <w:rFonts w:ascii="宋体" w:eastAsia="宋体" w:hAnsi="宋体" w:hint="eastAsia"/>
          <w:sz w:val="24"/>
          <w:szCs w:val="24"/>
        </w:rPr>
        <w:lastRenderedPageBreak/>
        <w:t>要性要高于其余一级指标。这一结论也符合当前墙体板材行业节能减排工作开展的大方向</w:t>
      </w:r>
      <w:r w:rsidR="003B785B">
        <w:rPr>
          <w:rFonts w:ascii="宋体" w:eastAsia="宋体" w:hAnsi="宋体" w:hint="eastAsia"/>
          <w:sz w:val="24"/>
          <w:szCs w:val="24"/>
        </w:rPr>
        <w:t>，</w:t>
      </w:r>
      <w:r>
        <w:rPr>
          <w:rFonts w:ascii="宋体" w:eastAsia="宋体" w:hAnsi="宋体" w:hint="eastAsia"/>
          <w:sz w:val="24"/>
          <w:szCs w:val="24"/>
        </w:rPr>
        <w:t>具体权重见表</w:t>
      </w:r>
      <w:r w:rsidR="00ED7FE6">
        <w:rPr>
          <w:rFonts w:ascii="宋体" w:eastAsia="宋体" w:hAnsi="宋体" w:hint="eastAsia"/>
          <w:sz w:val="24"/>
          <w:szCs w:val="24"/>
        </w:rPr>
        <w:t>4</w:t>
      </w:r>
      <w:r w:rsidR="009A706D">
        <w:rPr>
          <w:rFonts w:ascii="宋体" w:eastAsia="宋体" w:hAnsi="宋体" w:hint="eastAsia"/>
          <w:sz w:val="24"/>
          <w:szCs w:val="24"/>
        </w:rPr>
        <w:t>。</w:t>
      </w:r>
    </w:p>
    <w:p w:rsidR="00DF158F" w:rsidRDefault="00BE059B" w:rsidP="00700920">
      <w:pPr>
        <w:spacing w:line="360" w:lineRule="auto"/>
        <w:ind w:firstLineChars="200" w:firstLine="420"/>
        <w:jc w:val="center"/>
        <w:rPr>
          <w:b/>
        </w:rPr>
      </w:pPr>
      <w:r>
        <w:rPr>
          <w:rFonts w:hint="eastAsia"/>
          <w:b/>
        </w:rPr>
        <w:t>表</w:t>
      </w:r>
      <w:r w:rsidR="00ED7FE6">
        <w:rPr>
          <w:rFonts w:hint="eastAsia"/>
          <w:b/>
        </w:rPr>
        <w:t xml:space="preserve">4 </w:t>
      </w:r>
      <w:r>
        <w:rPr>
          <w:rFonts w:hint="eastAsia"/>
          <w:b/>
        </w:rPr>
        <w:t xml:space="preserve"> </w:t>
      </w:r>
      <w:r w:rsidR="009A706D">
        <w:rPr>
          <w:rFonts w:hint="eastAsia"/>
          <w:b/>
        </w:rPr>
        <w:t>墙体板材行业绿色工厂评价要求</w:t>
      </w:r>
      <w:r>
        <w:rPr>
          <w:rFonts w:hint="eastAsia"/>
          <w:b/>
        </w:rPr>
        <w:t>一级指标权重</w:t>
      </w:r>
    </w:p>
    <w:tbl>
      <w:tblPr>
        <w:tblStyle w:val="ae"/>
        <w:tblW w:w="0" w:type="auto"/>
        <w:tblLook w:val="04A0"/>
      </w:tblPr>
      <w:tblGrid>
        <w:gridCol w:w="1585"/>
        <w:gridCol w:w="1587"/>
        <w:gridCol w:w="1898"/>
        <w:gridCol w:w="1274"/>
        <w:gridCol w:w="1585"/>
        <w:gridCol w:w="1587"/>
      </w:tblGrid>
      <w:tr w:rsidR="00DF158F">
        <w:trPr>
          <w:trHeight w:val="481"/>
        </w:trPr>
        <w:tc>
          <w:tcPr>
            <w:tcW w:w="1585" w:type="dxa"/>
            <w:vAlign w:val="center"/>
          </w:tcPr>
          <w:p w:rsidR="00DF158F" w:rsidRDefault="00BE059B">
            <w:pPr>
              <w:pStyle w:val="af0"/>
              <w:spacing w:line="400" w:lineRule="exact"/>
              <w:ind w:firstLineChars="0" w:firstLine="0"/>
              <w:jc w:val="center"/>
            </w:pPr>
            <w:r>
              <w:rPr>
                <w:rFonts w:hint="eastAsia"/>
              </w:rPr>
              <w:t>基础设施</w:t>
            </w:r>
          </w:p>
        </w:tc>
        <w:tc>
          <w:tcPr>
            <w:tcW w:w="1587" w:type="dxa"/>
            <w:vAlign w:val="center"/>
          </w:tcPr>
          <w:p w:rsidR="00DF158F" w:rsidRDefault="00BE059B">
            <w:pPr>
              <w:pStyle w:val="af0"/>
              <w:spacing w:line="400" w:lineRule="exact"/>
              <w:ind w:firstLineChars="0" w:firstLine="0"/>
              <w:jc w:val="center"/>
            </w:pPr>
            <w:r>
              <w:rPr>
                <w:rFonts w:hint="eastAsia"/>
              </w:rPr>
              <w:t>管理体系</w:t>
            </w:r>
          </w:p>
        </w:tc>
        <w:tc>
          <w:tcPr>
            <w:tcW w:w="1898" w:type="dxa"/>
            <w:vAlign w:val="center"/>
          </w:tcPr>
          <w:p w:rsidR="00DF158F" w:rsidRDefault="00BE059B">
            <w:pPr>
              <w:pStyle w:val="af0"/>
              <w:spacing w:line="400" w:lineRule="exact"/>
              <w:ind w:firstLineChars="0" w:firstLine="0"/>
              <w:jc w:val="center"/>
            </w:pPr>
            <w:r>
              <w:rPr>
                <w:rFonts w:hint="eastAsia"/>
              </w:rPr>
              <w:t>资源与能源投入</w:t>
            </w:r>
          </w:p>
        </w:tc>
        <w:tc>
          <w:tcPr>
            <w:tcW w:w="1274" w:type="dxa"/>
            <w:vAlign w:val="center"/>
          </w:tcPr>
          <w:p w:rsidR="00DF158F" w:rsidRDefault="00BE059B">
            <w:pPr>
              <w:pStyle w:val="af0"/>
              <w:spacing w:line="400" w:lineRule="exact"/>
              <w:ind w:firstLineChars="0" w:firstLine="0"/>
              <w:jc w:val="center"/>
            </w:pPr>
            <w:r>
              <w:rPr>
                <w:rFonts w:hint="eastAsia"/>
              </w:rPr>
              <w:t>产品</w:t>
            </w:r>
          </w:p>
        </w:tc>
        <w:tc>
          <w:tcPr>
            <w:tcW w:w="1585" w:type="dxa"/>
            <w:vAlign w:val="center"/>
          </w:tcPr>
          <w:p w:rsidR="00DF158F" w:rsidRDefault="00BE059B">
            <w:pPr>
              <w:pStyle w:val="af0"/>
              <w:spacing w:line="400" w:lineRule="exact"/>
              <w:ind w:firstLineChars="0" w:firstLine="0"/>
              <w:jc w:val="center"/>
            </w:pPr>
            <w:r>
              <w:rPr>
                <w:rFonts w:hint="eastAsia"/>
              </w:rPr>
              <w:t>环境排放</w:t>
            </w:r>
          </w:p>
        </w:tc>
        <w:tc>
          <w:tcPr>
            <w:tcW w:w="1587" w:type="dxa"/>
            <w:vAlign w:val="center"/>
          </w:tcPr>
          <w:p w:rsidR="00DF158F" w:rsidRDefault="00BE059B">
            <w:pPr>
              <w:pStyle w:val="af0"/>
              <w:spacing w:line="400" w:lineRule="exact"/>
              <w:ind w:firstLineChars="0" w:firstLine="0"/>
              <w:jc w:val="center"/>
            </w:pPr>
            <w:r>
              <w:rPr>
                <w:rFonts w:hint="eastAsia"/>
              </w:rPr>
              <w:t>综合绩效</w:t>
            </w:r>
          </w:p>
        </w:tc>
      </w:tr>
      <w:tr w:rsidR="00DF158F">
        <w:trPr>
          <w:trHeight w:val="412"/>
        </w:trPr>
        <w:tc>
          <w:tcPr>
            <w:tcW w:w="1585" w:type="dxa"/>
            <w:vAlign w:val="center"/>
          </w:tcPr>
          <w:p w:rsidR="00DF158F" w:rsidRDefault="00BE059B">
            <w:pPr>
              <w:pStyle w:val="af0"/>
              <w:spacing w:line="400" w:lineRule="exact"/>
              <w:ind w:firstLineChars="0" w:firstLine="0"/>
              <w:jc w:val="center"/>
            </w:pPr>
            <w:r>
              <w:rPr>
                <w:rFonts w:hint="eastAsia"/>
              </w:rPr>
              <w:t>15%</w:t>
            </w:r>
          </w:p>
        </w:tc>
        <w:tc>
          <w:tcPr>
            <w:tcW w:w="1587" w:type="dxa"/>
            <w:vAlign w:val="center"/>
          </w:tcPr>
          <w:p w:rsidR="00DF158F" w:rsidRDefault="00BE059B">
            <w:pPr>
              <w:pStyle w:val="af0"/>
              <w:spacing w:line="400" w:lineRule="exact"/>
              <w:ind w:firstLineChars="0" w:firstLine="0"/>
              <w:jc w:val="center"/>
            </w:pPr>
            <w:r>
              <w:rPr>
                <w:rFonts w:hint="eastAsia"/>
              </w:rPr>
              <w:t>10%</w:t>
            </w:r>
          </w:p>
        </w:tc>
        <w:tc>
          <w:tcPr>
            <w:tcW w:w="1898" w:type="dxa"/>
            <w:vAlign w:val="center"/>
          </w:tcPr>
          <w:p w:rsidR="00DF158F" w:rsidRDefault="00BE059B">
            <w:pPr>
              <w:pStyle w:val="af0"/>
              <w:spacing w:line="400" w:lineRule="exact"/>
              <w:ind w:firstLineChars="0" w:firstLine="0"/>
              <w:jc w:val="center"/>
            </w:pPr>
            <w:r>
              <w:rPr>
                <w:rFonts w:hint="eastAsia"/>
              </w:rPr>
              <w:t>15%</w:t>
            </w:r>
          </w:p>
        </w:tc>
        <w:tc>
          <w:tcPr>
            <w:tcW w:w="1274" w:type="dxa"/>
            <w:vAlign w:val="center"/>
          </w:tcPr>
          <w:p w:rsidR="00DF158F" w:rsidRDefault="00187621" w:rsidP="000F589A">
            <w:pPr>
              <w:pStyle w:val="af0"/>
              <w:spacing w:line="400" w:lineRule="exact"/>
              <w:ind w:firstLineChars="0" w:firstLine="0"/>
              <w:jc w:val="center"/>
            </w:pPr>
            <w:r>
              <w:rPr>
                <w:rFonts w:hint="eastAsia"/>
              </w:rPr>
              <w:t>2</w:t>
            </w:r>
            <w:r w:rsidR="000F589A">
              <w:rPr>
                <w:rFonts w:hint="eastAsia"/>
              </w:rPr>
              <w:t>5</w:t>
            </w:r>
            <w:r w:rsidR="00BE059B">
              <w:rPr>
                <w:rFonts w:hint="eastAsia"/>
              </w:rPr>
              <w:t>%</w:t>
            </w:r>
          </w:p>
        </w:tc>
        <w:tc>
          <w:tcPr>
            <w:tcW w:w="1585" w:type="dxa"/>
            <w:vAlign w:val="center"/>
          </w:tcPr>
          <w:p w:rsidR="00DF158F" w:rsidRDefault="00BE059B" w:rsidP="000F589A">
            <w:pPr>
              <w:pStyle w:val="af0"/>
              <w:spacing w:line="400" w:lineRule="exact"/>
              <w:ind w:firstLineChars="0" w:firstLine="0"/>
              <w:jc w:val="center"/>
            </w:pPr>
            <w:r>
              <w:rPr>
                <w:rFonts w:hint="eastAsia"/>
              </w:rPr>
              <w:t>1</w:t>
            </w:r>
            <w:r w:rsidR="000F589A">
              <w:rPr>
                <w:rFonts w:hint="eastAsia"/>
              </w:rPr>
              <w:t>0</w:t>
            </w:r>
            <w:r>
              <w:rPr>
                <w:rFonts w:hint="eastAsia"/>
              </w:rPr>
              <w:t>%</w:t>
            </w:r>
          </w:p>
        </w:tc>
        <w:tc>
          <w:tcPr>
            <w:tcW w:w="1587" w:type="dxa"/>
            <w:vAlign w:val="center"/>
          </w:tcPr>
          <w:p w:rsidR="00DF158F" w:rsidRDefault="00187621">
            <w:pPr>
              <w:pStyle w:val="af0"/>
              <w:spacing w:line="400" w:lineRule="exact"/>
              <w:ind w:firstLineChars="0" w:firstLine="0"/>
              <w:jc w:val="center"/>
            </w:pPr>
            <w:r>
              <w:rPr>
                <w:rFonts w:hint="eastAsia"/>
              </w:rPr>
              <w:t>25</w:t>
            </w:r>
            <w:r w:rsidR="00BE059B">
              <w:rPr>
                <w:rFonts w:hint="eastAsia"/>
              </w:rPr>
              <w:t>%</w:t>
            </w:r>
          </w:p>
        </w:tc>
      </w:tr>
    </w:tbl>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根据标准给出的判定准则，工厂在满足基本要求、必选要求的前提下，可以判定其满足墙体板材行业绿色工厂的最低要求。评价实施方可自行确定工厂所需达到的对应分值作为其对工厂创建水平的认可条件。</w:t>
      </w:r>
    </w:p>
    <w:p w:rsidR="00DF158F" w:rsidRDefault="00BE059B">
      <w:pPr>
        <w:pStyle w:val="2"/>
        <w:spacing w:before="0" w:after="120" w:line="500" w:lineRule="exact"/>
        <w:rPr>
          <w:rFonts w:ascii="宋体" w:eastAsia="宋体" w:hAnsi="宋体" w:cstheme="minorBidi"/>
          <w:bCs w:val="0"/>
          <w:szCs w:val="24"/>
        </w:rPr>
      </w:pPr>
      <w:r>
        <w:rPr>
          <w:rFonts w:ascii="宋体" w:eastAsia="宋体" w:hAnsi="宋体" w:cstheme="minorBidi" w:hint="eastAsia"/>
          <w:bCs w:val="0"/>
          <w:szCs w:val="24"/>
        </w:rPr>
        <w:t>4.6.2  数据统计</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数据统计周期应与评价报告期保持一致，以确保数据的可比性与完整性。建议评价实施方以距离评价日期最近的一个自然年作为数据统计与评价报告期，如果最近一个自然年企业生产或工艺等出现了重大变化，</w:t>
      </w:r>
      <w:r w:rsidR="00464387">
        <w:rPr>
          <w:rFonts w:ascii="宋体" w:eastAsia="宋体" w:hAnsi="宋体" w:hint="eastAsia"/>
          <w:sz w:val="24"/>
          <w:szCs w:val="24"/>
        </w:rPr>
        <w:t>也</w:t>
      </w:r>
      <w:r>
        <w:rPr>
          <w:rFonts w:ascii="宋体" w:eastAsia="宋体" w:hAnsi="宋体" w:hint="eastAsia"/>
          <w:sz w:val="24"/>
          <w:szCs w:val="24"/>
        </w:rPr>
        <w:t>可以</w:t>
      </w:r>
      <w:r w:rsidR="00464387">
        <w:rPr>
          <w:rFonts w:ascii="宋体" w:eastAsia="宋体" w:hAnsi="宋体" w:hint="eastAsia"/>
          <w:sz w:val="24"/>
          <w:szCs w:val="24"/>
        </w:rPr>
        <w:t>根据实际情况确定评价期</w:t>
      </w:r>
      <w:r>
        <w:rPr>
          <w:rFonts w:ascii="宋体" w:eastAsia="宋体" w:hAnsi="宋体" w:hint="eastAsia"/>
          <w:sz w:val="24"/>
          <w:szCs w:val="24"/>
        </w:rPr>
        <w:t>。对于产品、环境排放等指标涉及参考检验报告的条款，则应优先参考评价报告期内距离评价日期最近的一次有效检测结果。</w:t>
      </w:r>
    </w:p>
    <w:p w:rsidR="000B289B" w:rsidRPr="000B289B" w:rsidRDefault="00BE059B" w:rsidP="000B289B">
      <w:pPr>
        <w:spacing w:line="360" w:lineRule="auto"/>
        <w:ind w:firstLineChars="200" w:firstLine="480"/>
        <w:rPr>
          <w:rFonts w:ascii="宋体" w:eastAsia="宋体" w:hAnsi="宋体"/>
          <w:sz w:val="24"/>
          <w:szCs w:val="24"/>
        </w:rPr>
      </w:pPr>
      <w:r>
        <w:rPr>
          <w:rFonts w:ascii="宋体" w:eastAsia="宋体" w:hAnsi="宋体" w:hint="eastAsia"/>
          <w:sz w:val="24"/>
          <w:szCs w:val="24"/>
        </w:rPr>
        <w:t>工厂数据统计的口径不同，会导致最终指标计算结果的差异，为了统一绿色工厂评价的数据统计口径，明确数据来源，</w:t>
      </w:r>
      <w:r w:rsidR="000B289B" w:rsidRPr="000B289B">
        <w:rPr>
          <w:rFonts w:ascii="宋体" w:eastAsia="宋体" w:hAnsi="宋体"/>
          <w:sz w:val="24"/>
          <w:szCs w:val="24"/>
        </w:rPr>
        <w:t>当同类型数据有多个来源时，评价实施方可通过查阅在线监测系统数据、第三方按相关标准出具的监视测量核算等数据、统计局统计上报数据及企业计量统计数据，对工厂所提供数据进行交叉核验。为保证数据来源的可追溯，评价实施方宜随评价报告附基础数据收集表，格式参见附录D。</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为了规范数据采集格式，标准</w:t>
      </w:r>
      <w:r w:rsidR="000B289B">
        <w:rPr>
          <w:rFonts w:ascii="宋体" w:eastAsia="宋体" w:hAnsi="宋体" w:hint="eastAsia"/>
          <w:sz w:val="24"/>
          <w:szCs w:val="24"/>
        </w:rPr>
        <w:t>附录D</w:t>
      </w:r>
      <w:r>
        <w:rPr>
          <w:rFonts w:ascii="宋体" w:eastAsia="宋体" w:hAnsi="宋体" w:hint="eastAsia"/>
          <w:sz w:val="24"/>
          <w:szCs w:val="24"/>
        </w:rPr>
        <w:t>给出了基础数据采集表的格式</w:t>
      </w:r>
      <w:r w:rsidR="000B289B">
        <w:rPr>
          <w:rFonts w:ascii="宋体" w:eastAsia="宋体" w:hAnsi="宋体" w:hint="eastAsia"/>
          <w:sz w:val="24"/>
          <w:szCs w:val="24"/>
        </w:rPr>
        <w:t>示例</w:t>
      </w:r>
      <w:r>
        <w:rPr>
          <w:rFonts w:ascii="宋体" w:eastAsia="宋体" w:hAnsi="宋体" w:hint="eastAsia"/>
          <w:sz w:val="24"/>
          <w:szCs w:val="24"/>
        </w:rPr>
        <w:t>，可以作为评价实施方出具评价报告的附件或数据收集证据予以留存。</w:t>
      </w:r>
    </w:p>
    <w:p w:rsidR="008F36C1" w:rsidRDefault="008F36C1" w:rsidP="008F36C1">
      <w:pPr>
        <w:pStyle w:val="2"/>
        <w:spacing w:before="0" w:after="120" w:line="500" w:lineRule="exact"/>
        <w:rPr>
          <w:rFonts w:ascii="宋体" w:eastAsia="宋体" w:hAnsi="宋体" w:cstheme="minorBidi"/>
          <w:szCs w:val="24"/>
        </w:rPr>
      </w:pPr>
      <w:r w:rsidRPr="008F36C1">
        <w:rPr>
          <w:rFonts w:ascii="宋体" w:eastAsia="宋体" w:hAnsi="宋体" w:cstheme="minorBidi" w:hint="eastAsia"/>
          <w:szCs w:val="24"/>
        </w:rPr>
        <w:t>4.7 判定</w:t>
      </w:r>
    </w:p>
    <w:p w:rsidR="008F36C1" w:rsidRPr="008F36C1" w:rsidRDefault="008F36C1" w:rsidP="008F36C1">
      <w:pPr>
        <w:spacing w:line="360" w:lineRule="auto"/>
        <w:ind w:firstLineChars="200" w:firstLine="480"/>
        <w:rPr>
          <w:rFonts w:ascii="宋体" w:eastAsia="宋体" w:hAnsi="宋体"/>
          <w:sz w:val="24"/>
          <w:szCs w:val="24"/>
        </w:rPr>
        <w:sectPr w:rsidR="008F36C1" w:rsidRPr="008F36C1" w:rsidSect="008F36C1">
          <w:type w:val="continuous"/>
          <w:pgSz w:w="11906" w:h="16838"/>
          <w:pgMar w:top="567" w:right="1134" w:bottom="1134" w:left="1418" w:header="1418" w:footer="1134" w:gutter="0"/>
          <w:pgNumType w:start="1"/>
          <w:cols w:space="425"/>
          <w:formProt w:val="0"/>
          <w:docGrid w:type="lines" w:linePitch="312"/>
        </w:sectPr>
      </w:pPr>
      <w:r w:rsidRPr="008F36C1">
        <w:rPr>
          <w:rFonts w:ascii="宋体" w:eastAsia="宋体" w:hAnsi="宋体"/>
          <w:sz w:val="24"/>
          <w:szCs w:val="24"/>
        </w:rPr>
        <w:t>在满足基本要求及全部必选要求的前提下，经评价、计算所获得的总得分是对工厂绿色化水平的综合量化评估。评价组织方可依据本文件所提供的评价要求确定相适应的判定标准及得分要求，工厂满足相应要求时可判定为绿色工厂。</w:t>
      </w:r>
    </w:p>
    <w:p w:rsidR="00DF158F" w:rsidRDefault="00BE059B">
      <w:pPr>
        <w:pStyle w:val="2"/>
        <w:spacing w:before="0" w:after="120" w:line="500" w:lineRule="exact"/>
        <w:rPr>
          <w:rFonts w:ascii="宋体" w:eastAsia="宋体" w:hAnsi="宋体" w:cstheme="minorBidi"/>
          <w:bCs w:val="0"/>
          <w:szCs w:val="24"/>
        </w:rPr>
      </w:pPr>
      <w:r>
        <w:rPr>
          <w:rFonts w:ascii="宋体" w:eastAsia="宋体" w:hAnsi="宋体" w:cstheme="minorBidi" w:hint="eastAsia"/>
          <w:bCs w:val="0"/>
          <w:szCs w:val="24"/>
        </w:rPr>
        <w:lastRenderedPageBreak/>
        <w:t>4.</w:t>
      </w:r>
      <w:r w:rsidR="008F36C1">
        <w:rPr>
          <w:rFonts w:ascii="宋体" w:eastAsia="宋体" w:hAnsi="宋体" w:cstheme="minorBidi" w:hint="eastAsia"/>
          <w:bCs w:val="0"/>
          <w:szCs w:val="24"/>
        </w:rPr>
        <w:t xml:space="preserve">8 </w:t>
      </w:r>
      <w:r>
        <w:rPr>
          <w:rFonts w:ascii="宋体" w:eastAsia="宋体" w:hAnsi="宋体" w:cstheme="minorBidi" w:hint="eastAsia"/>
          <w:bCs w:val="0"/>
          <w:szCs w:val="24"/>
        </w:rPr>
        <w:t xml:space="preserve"> 附录A  墙体板材行业绿色工厂评价基本要求</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附录A为规范性附录，给出了墙体板材行业绿色工厂评价的基本要求，包括基础合规性要求与基础管理职责要求两部分。基础合规性要求是对墙体板材行业绿色工厂提出的体现行业先进性的要求。基础管理职责引用《通则》中的相关要求，主要规定了最高管理者以及工厂的相应管理要求。</w:t>
      </w:r>
    </w:p>
    <w:p w:rsidR="00DF158F" w:rsidRDefault="00BE059B">
      <w:pPr>
        <w:spacing w:line="360" w:lineRule="auto"/>
        <w:rPr>
          <w:rFonts w:ascii="宋体" w:eastAsia="宋体" w:hAnsi="宋体"/>
          <w:b/>
          <w:sz w:val="24"/>
          <w:szCs w:val="24"/>
        </w:rPr>
      </w:pPr>
      <w:r>
        <w:rPr>
          <w:rFonts w:ascii="宋体" w:eastAsia="宋体" w:hAnsi="宋体" w:hint="eastAsia"/>
          <w:b/>
          <w:sz w:val="24"/>
          <w:szCs w:val="24"/>
        </w:rPr>
        <w:lastRenderedPageBreak/>
        <w:t>4.</w:t>
      </w:r>
      <w:r w:rsidR="008F36C1">
        <w:rPr>
          <w:rFonts w:ascii="宋体" w:eastAsia="宋体" w:hAnsi="宋体" w:hint="eastAsia"/>
          <w:b/>
          <w:sz w:val="24"/>
          <w:szCs w:val="24"/>
        </w:rPr>
        <w:t>9</w:t>
      </w:r>
      <w:r>
        <w:rPr>
          <w:rFonts w:ascii="宋体" w:eastAsia="宋体" w:hAnsi="宋体" w:hint="eastAsia"/>
          <w:b/>
          <w:sz w:val="24"/>
          <w:szCs w:val="24"/>
        </w:rPr>
        <w:t xml:space="preserve">  附录B  墙体板材行业评价指标</w:t>
      </w:r>
      <w:r w:rsidR="00781D3F">
        <w:rPr>
          <w:rFonts w:ascii="宋体" w:eastAsia="宋体" w:hAnsi="宋体" w:hint="eastAsia"/>
          <w:b/>
          <w:sz w:val="24"/>
          <w:szCs w:val="24"/>
        </w:rPr>
        <w:t>要求</w:t>
      </w:r>
      <w:r>
        <w:rPr>
          <w:rFonts w:ascii="宋体" w:eastAsia="宋体" w:hAnsi="宋体" w:hint="eastAsia"/>
          <w:b/>
          <w:sz w:val="24"/>
          <w:szCs w:val="24"/>
        </w:rPr>
        <w:t>表</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附录B为规范性附录，给出了墙体板材行业绿色工厂评价指标表，表格主要分为三个部分，左侧为一级指标和二级指标以及相应权重；中间部分是指标所对应的评价要求和评价要求对应的判定准则；右侧是各条款对应的分值。</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通过“</w:t>
      </w:r>
      <w:r w:rsidR="00781D3F" w:rsidRPr="00781D3F">
        <w:rPr>
          <w:rFonts w:ascii="宋体" w:eastAsia="宋体" w:hAnsi="宋体" w:hint="eastAsia"/>
          <w:sz w:val="24"/>
          <w:szCs w:val="24"/>
          <w:vertAlign w:val="superscript"/>
        </w:rPr>
        <w:t>*</w:t>
      </w:r>
      <w:r>
        <w:rPr>
          <w:rFonts w:ascii="宋体" w:eastAsia="宋体" w:hAnsi="宋体" w:hint="eastAsia"/>
          <w:sz w:val="24"/>
          <w:szCs w:val="24"/>
        </w:rPr>
        <w:t>”对必选要求与可选要求进行了区分，</w:t>
      </w:r>
      <w:r w:rsidR="003028F7">
        <w:rPr>
          <w:rFonts w:ascii="宋体" w:eastAsia="宋体" w:hAnsi="宋体" w:hint="eastAsia"/>
          <w:sz w:val="24"/>
          <w:szCs w:val="24"/>
        </w:rPr>
        <w:t>各二级指标</w:t>
      </w:r>
      <w:r>
        <w:rPr>
          <w:rFonts w:ascii="宋体" w:eastAsia="宋体" w:hAnsi="宋体" w:hint="eastAsia"/>
          <w:sz w:val="24"/>
          <w:szCs w:val="24"/>
        </w:rPr>
        <w:t>分值满分为100分</w:t>
      </w:r>
      <w:r w:rsidR="003028F7">
        <w:rPr>
          <w:rFonts w:ascii="宋体" w:eastAsia="宋体" w:hAnsi="宋体" w:hint="eastAsia"/>
          <w:sz w:val="24"/>
          <w:szCs w:val="24"/>
        </w:rPr>
        <w:t>，其中</w:t>
      </w:r>
      <w:r w:rsidR="00781D3F">
        <w:rPr>
          <w:rFonts w:ascii="宋体" w:eastAsia="宋体" w:hAnsi="宋体" w:hint="eastAsia"/>
          <w:sz w:val="24"/>
          <w:szCs w:val="24"/>
        </w:rPr>
        <w:t>必选要求和可选要求各占50分。</w:t>
      </w:r>
      <w:r>
        <w:rPr>
          <w:rFonts w:ascii="宋体" w:eastAsia="宋体" w:hAnsi="宋体" w:hint="eastAsia"/>
          <w:sz w:val="24"/>
          <w:szCs w:val="24"/>
        </w:rPr>
        <w:t>必选要求所对应的判定准</w:t>
      </w:r>
      <w:r w:rsidR="00781D3F">
        <w:rPr>
          <w:rFonts w:ascii="宋体" w:eastAsia="宋体" w:hAnsi="宋体" w:hint="eastAsia"/>
          <w:sz w:val="24"/>
          <w:szCs w:val="24"/>
        </w:rPr>
        <w:t>则，工厂</w:t>
      </w:r>
      <w:r>
        <w:rPr>
          <w:rFonts w:ascii="宋体" w:eastAsia="宋体" w:hAnsi="宋体" w:hint="eastAsia"/>
          <w:sz w:val="24"/>
          <w:szCs w:val="24"/>
        </w:rPr>
        <w:t>视符合与否得 0 分或满分。可选要求对应的判定准则得分</w:t>
      </w:r>
      <w:r w:rsidR="00781D3F">
        <w:rPr>
          <w:rFonts w:ascii="宋体" w:eastAsia="宋体" w:hAnsi="宋体" w:hint="eastAsia"/>
          <w:sz w:val="24"/>
          <w:szCs w:val="24"/>
        </w:rPr>
        <w:t>可从0分至满分间视满足情况取分值。</w:t>
      </w:r>
      <w:r>
        <w:rPr>
          <w:rFonts w:ascii="宋体" w:eastAsia="宋体" w:hAnsi="宋体" w:hint="eastAsia"/>
          <w:sz w:val="24"/>
          <w:szCs w:val="24"/>
        </w:rPr>
        <w:t xml:space="preserve"> </w:t>
      </w:r>
    </w:p>
    <w:p w:rsidR="00DF158F" w:rsidRDefault="00781D3F">
      <w:pPr>
        <w:spacing w:line="360" w:lineRule="auto"/>
        <w:ind w:firstLineChars="200" w:firstLine="480"/>
        <w:rPr>
          <w:rFonts w:ascii="宋体" w:eastAsia="宋体" w:hAnsi="宋体"/>
          <w:sz w:val="24"/>
          <w:szCs w:val="24"/>
        </w:rPr>
      </w:pPr>
      <w:r>
        <w:rPr>
          <w:rFonts w:ascii="宋体" w:eastAsia="宋体" w:hAnsi="宋体" w:hint="eastAsia"/>
          <w:sz w:val="24"/>
          <w:szCs w:val="24"/>
        </w:rPr>
        <w:t>附录B中一级指标、二级指标、评价要求与行业标准JC/T XXXX《墙体材料行业绿色工厂评价导则》保持一致，判定准则根据评价要求进行具体分解，突出可操作性。</w:t>
      </w:r>
      <w:r w:rsidR="00BE059B">
        <w:rPr>
          <w:rFonts w:ascii="宋体" w:eastAsia="宋体" w:hAnsi="宋体" w:hint="eastAsia"/>
          <w:sz w:val="24"/>
          <w:szCs w:val="24"/>
        </w:rPr>
        <w:t xml:space="preserve"> </w:t>
      </w:r>
    </w:p>
    <w:p w:rsidR="00781D3F" w:rsidRDefault="00781D3F" w:rsidP="00045C03">
      <w:pPr>
        <w:spacing w:beforeLines="20" w:afterLines="20" w:line="360" w:lineRule="auto"/>
        <w:rPr>
          <w:rFonts w:ascii="宋体" w:eastAsia="宋体" w:hAnsi="宋体"/>
          <w:b/>
          <w:sz w:val="24"/>
          <w:szCs w:val="24"/>
        </w:rPr>
      </w:pPr>
      <w:r w:rsidRPr="00781D3F">
        <w:rPr>
          <w:rFonts w:ascii="宋体" w:eastAsia="宋体" w:hAnsi="宋体" w:hint="eastAsia"/>
          <w:b/>
          <w:sz w:val="24"/>
          <w:szCs w:val="24"/>
        </w:rPr>
        <w:t>4.10</w:t>
      </w:r>
      <w:r>
        <w:rPr>
          <w:rFonts w:ascii="宋体" w:eastAsia="宋体" w:hAnsi="宋体" w:hint="eastAsia"/>
          <w:b/>
          <w:sz w:val="24"/>
          <w:szCs w:val="24"/>
        </w:rPr>
        <w:t xml:space="preserve"> 附录C</w:t>
      </w:r>
    </w:p>
    <w:p w:rsidR="00781D3F" w:rsidRDefault="00781D3F" w:rsidP="00781D3F">
      <w:pPr>
        <w:spacing w:line="360" w:lineRule="auto"/>
        <w:ind w:firstLineChars="200" w:firstLine="480"/>
        <w:rPr>
          <w:rFonts w:ascii="宋体" w:eastAsia="宋体" w:hAnsi="宋体"/>
          <w:sz w:val="24"/>
          <w:szCs w:val="24"/>
        </w:rPr>
      </w:pPr>
      <w:r w:rsidRPr="00781D3F">
        <w:rPr>
          <w:rFonts w:ascii="宋体" w:eastAsia="宋体" w:hAnsi="宋体" w:hint="eastAsia"/>
          <w:sz w:val="24"/>
          <w:szCs w:val="24"/>
        </w:rPr>
        <w:t>附录</w:t>
      </w:r>
      <w:r>
        <w:rPr>
          <w:rFonts w:ascii="宋体" w:eastAsia="宋体" w:hAnsi="宋体" w:hint="eastAsia"/>
          <w:sz w:val="24"/>
          <w:szCs w:val="24"/>
        </w:rPr>
        <w:t>C为规范性附录，列出了标准中涉及到的计算公式。</w:t>
      </w:r>
    </w:p>
    <w:p w:rsidR="00781D3F" w:rsidRDefault="00781D3F" w:rsidP="00045C03">
      <w:pPr>
        <w:spacing w:beforeLines="20" w:afterLines="20" w:line="360" w:lineRule="auto"/>
        <w:rPr>
          <w:rFonts w:ascii="宋体" w:eastAsia="宋体" w:hAnsi="宋体"/>
          <w:b/>
          <w:sz w:val="24"/>
          <w:szCs w:val="24"/>
        </w:rPr>
      </w:pPr>
      <w:r w:rsidRPr="00781D3F">
        <w:rPr>
          <w:rFonts w:ascii="宋体" w:eastAsia="宋体" w:hAnsi="宋体" w:hint="eastAsia"/>
          <w:b/>
          <w:sz w:val="24"/>
          <w:szCs w:val="24"/>
        </w:rPr>
        <w:t>4.11</w:t>
      </w:r>
      <w:r>
        <w:rPr>
          <w:rFonts w:ascii="宋体" w:eastAsia="宋体" w:hAnsi="宋体" w:hint="eastAsia"/>
          <w:b/>
          <w:sz w:val="24"/>
          <w:szCs w:val="24"/>
        </w:rPr>
        <w:t xml:space="preserve"> 附录D</w:t>
      </w:r>
    </w:p>
    <w:p w:rsidR="00781D3F" w:rsidRPr="00781D3F" w:rsidRDefault="00781D3F" w:rsidP="00781D3F">
      <w:pPr>
        <w:spacing w:line="360" w:lineRule="auto"/>
        <w:ind w:firstLineChars="200" w:firstLine="480"/>
        <w:rPr>
          <w:rFonts w:ascii="宋体" w:eastAsia="宋体" w:hAnsi="宋体"/>
          <w:b/>
          <w:sz w:val="24"/>
          <w:szCs w:val="24"/>
        </w:rPr>
      </w:pPr>
      <w:r w:rsidRPr="00781D3F">
        <w:rPr>
          <w:rFonts w:ascii="宋体" w:eastAsia="宋体" w:hAnsi="宋体" w:hint="eastAsia"/>
          <w:sz w:val="24"/>
          <w:szCs w:val="24"/>
        </w:rPr>
        <w:t>附录</w:t>
      </w:r>
      <w:r>
        <w:rPr>
          <w:rFonts w:ascii="宋体" w:eastAsia="宋体" w:hAnsi="宋体" w:hint="eastAsia"/>
          <w:sz w:val="24"/>
          <w:szCs w:val="24"/>
        </w:rPr>
        <w:t>D为资料性附录，给出了绿色工厂基础数据收集表格式。为了保持不同评价实施方能够统一数据收集的口径，建议在开展评价时对数据来源进行记录，绿色工厂涉及的数据类型主要包括产品、资源、能源、环境等几大类。</w:t>
      </w:r>
    </w:p>
    <w:p w:rsidR="00DF158F" w:rsidRDefault="00BE059B" w:rsidP="00045C03">
      <w:pPr>
        <w:pStyle w:val="1"/>
        <w:spacing w:beforeLines="50" w:afterLines="50" w:line="500" w:lineRule="exact"/>
        <w:rPr>
          <w:sz w:val="30"/>
          <w:szCs w:val="30"/>
        </w:rPr>
      </w:pPr>
      <w:r>
        <w:rPr>
          <w:rFonts w:hint="eastAsia"/>
          <w:sz w:val="30"/>
          <w:szCs w:val="30"/>
        </w:rPr>
        <w:t xml:space="preserve">5. </w:t>
      </w:r>
      <w:r>
        <w:rPr>
          <w:rFonts w:hint="eastAsia"/>
          <w:sz w:val="30"/>
          <w:szCs w:val="30"/>
        </w:rPr>
        <w:t>标准的验证情况分析</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标准中的基本要求除了绿色工厂合规性和管理方面的要求外，主要体现企业差异性的是行业规范条件满足情况和节能减排水平。</w:t>
      </w:r>
    </w:p>
    <w:p w:rsidR="00DF158F" w:rsidRDefault="00BE059B">
      <w:pPr>
        <w:spacing w:line="360" w:lineRule="auto"/>
        <w:ind w:firstLineChars="200" w:firstLine="480"/>
        <w:rPr>
          <w:rFonts w:ascii="宋体" w:eastAsia="宋体" w:hAnsi="宋体"/>
          <w:sz w:val="24"/>
          <w:szCs w:val="24"/>
        </w:rPr>
      </w:pPr>
      <w:r>
        <w:rPr>
          <w:rFonts w:ascii="宋体" w:eastAsia="宋体" w:hAnsi="宋体" w:hint="eastAsia"/>
          <w:sz w:val="24"/>
          <w:szCs w:val="24"/>
        </w:rPr>
        <w:t>依据评价要求进行第三方评价或者企业的自我评价，可以形成以分数为最终结论的评价报告，体现各级指标的创建内容。本标准通过对墙体板材生产企业进行现场试评价验证</w:t>
      </w:r>
      <w:r w:rsidR="00781D3F">
        <w:rPr>
          <w:rFonts w:ascii="宋体" w:eastAsia="宋体" w:hAnsi="宋体" w:hint="eastAsia"/>
          <w:sz w:val="24"/>
          <w:szCs w:val="24"/>
        </w:rPr>
        <w:t>，</w:t>
      </w:r>
      <w:r>
        <w:rPr>
          <w:rFonts w:ascii="宋体" w:eastAsia="宋体" w:hAnsi="宋体" w:hint="eastAsia"/>
          <w:sz w:val="24"/>
          <w:szCs w:val="24"/>
        </w:rPr>
        <w:t>依据标准完成绿色工厂的评价后，结合部分在实际试评价中较难予以证实或评估的条款进行</w:t>
      </w:r>
      <w:r w:rsidR="00781D3F">
        <w:rPr>
          <w:rFonts w:ascii="宋体" w:eastAsia="宋体" w:hAnsi="宋体" w:hint="eastAsia"/>
          <w:sz w:val="24"/>
          <w:szCs w:val="24"/>
        </w:rPr>
        <w:t>修改，</w:t>
      </w:r>
      <w:r>
        <w:rPr>
          <w:rFonts w:ascii="宋体" w:eastAsia="宋体" w:hAnsi="宋体" w:hint="eastAsia"/>
          <w:sz w:val="24"/>
          <w:szCs w:val="24"/>
        </w:rPr>
        <w:t>增强</w:t>
      </w:r>
      <w:r w:rsidR="00D06D39">
        <w:rPr>
          <w:rFonts w:ascii="宋体" w:eastAsia="宋体" w:hAnsi="宋体" w:hint="eastAsia"/>
          <w:sz w:val="24"/>
          <w:szCs w:val="24"/>
        </w:rPr>
        <w:t>标准的可操作性</w:t>
      </w:r>
      <w:r>
        <w:rPr>
          <w:rFonts w:ascii="宋体" w:eastAsia="宋体" w:hAnsi="宋体" w:hint="eastAsia"/>
          <w:sz w:val="24"/>
          <w:szCs w:val="24"/>
        </w:rPr>
        <w:t>。</w:t>
      </w:r>
    </w:p>
    <w:p w:rsidR="00DF158F" w:rsidRDefault="00BE059B">
      <w:pPr>
        <w:pStyle w:val="1"/>
        <w:spacing w:before="0" w:after="0" w:line="500" w:lineRule="exact"/>
      </w:pPr>
      <w:r>
        <w:rPr>
          <w:rFonts w:hint="eastAsia"/>
        </w:rPr>
        <w:t xml:space="preserve">6 </w:t>
      </w:r>
      <w:r>
        <w:t>标准中涉及专利</w:t>
      </w:r>
      <w:r>
        <w:rPr>
          <w:rFonts w:hint="eastAsia"/>
        </w:rPr>
        <w:t>情况</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本标准技术内容不涉及专利。</w:t>
      </w:r>
    </w:p>
    <w:p w:rsidR="00DF158F" w:rsidRDefault="00BE059B">
      <w:pPr>
        <w:pStyle w:val="1"/>
        <w:spacing w:before="0" w:after="0" w:line="500" w:lineRule="exact"/>
      </w:pPr>
      <w:r>
        <w:rPr>
          <w:rFonts w:hint="eastAsia"/>
        </w:rPr>
        <w:t xml:space="preserve">7 </w:t>
      </w:r>
      <w:r>
        <w:rPr>
          <w:rFonts w:hint="eastAsia"/>
        </w:rPr>
        <w:t>产业化情况、推广应用论证和预期达到的经济效果等情况</w:t>
      </w:r>
    </w:p>
    <w:p w:rsidR="00DF158F" w:rsidRDefault="00BE059B">
      <w:pPr>
        <w:spacing w:line="500" w:lineRule="exact"/>
        <w:ind w:firstLineChars="200" w:firstLine="480"/>
        <w:rPr>
          <w:rFonts w:ascii="宋体" w:eastAsia="宋体" w:hAnsi="宋体"/>
          <w:sz w:val="24"/>
          <w:szCs w:val="24"/>
        </w:rPr>
      </w:pPr>
      <w:r>
        <w:rPr>
          <w:rFonts w:ascii="宋体" w:eastAsia="宋体" w:hAnsi="宋体"/>
          <w:sz w:val="24"/>
          <w:szCs w:val="24"/>
        </w:rPr>
        <w:t>行业标准《墙体板材行业绿色工厂评价要求》的实施，为</w:t>
      </w:r>
      <w:r>
        <w:rPr>
          <w:rFonts w:ascii="宋体" w:eastAsia="宋体" w:hAnsi="宋体" w:hint="eastAsia"/>
          <w:sz w:val="24"/>
          <w:szCs w:val="24"/>
        </w:rPr>
        <w:t>墙体板材</w:t>
      </w:r>
      <w:r>
        <w:rPr>
          <w:rFonts w:ascii="宋体" w:eastAsia="宋体" w:hAnsi="宋体"/>
          <w:sz w:val="24"/>
          <w:szCs w:val="24"/>
        </w:rPr>
        <w:t>行业</w:t>
      </w:r>
      <w:r>
        <w:rPr>
          <w:rFonts w:ascii="宋体" w:eastAsia="宋体" w:hAnsi="宋体" w:hint="eastAsia"/>
          <w:sz w:val="24"/>
          <w:szCs w:val="24"/>
        </w:rPr>
        <w:t>绿色工厂创建水平的综合量化评估提供了判定依据</w:t>
      </w:r>
      <w:r>
        <w:rPr>
          <w:rFonts w:ascii="宋体" w:eastAsia="宋体" w:hAnsi="宋体"/>
          <w:sz w:val="24"/>
          <w:szCs w:val="24"/>
        </w:rPr>
        <w:t>，同时也</w:t>
      </w:r>
      <w:r>
        <w:rPr>
          <w:rFonts w:ascii="宋体" w:eastAsia="宋体" w:hAnsi="宋体" w:hint="eastAsia"/>
          <w:sz w:val="24"/>
          <w:szCs w:val="24"/>
        </w:rPr>
        <w:t>为行业淘汰落后产能，调整产业结构提供了重要依据。标准从基本要求、基础设施、管理体系、能源资源投入、产品、环境排放、综</w:t>
      </w:r>
      <w:r>
        <w:rPr>
          <w:rFonts w:ascii="宋体" w:eastAsia="宋体" w:hAnsi="宋体" w:hint="eastAsia"/>
          <w:sz w:val="24"/>
          <w:szCs w:val="24"/>
        </w:rPr>
        <w:lastRenderedPageBreak/>
        <w:t>合绩效等方面，按照“厂房集约化、原料无害化、生产洁净化、废物资源化、能源低碳化”的原则，建立可量化的绿色工厂评价指标体系，倒逼企业采用先进技术装备，努力创建低排放、高能效、资源循环利用、节水低碳、管理规范的墙体板材工厂，最终实现企业经济的可持续增长，达到经济效益、社会效益、环境保护效益三者的有机统一。</w:t>
      </w:r>
    </w:p>
    <w:p w:rsidR="00DF158F" w:rsidRDefault="00BE059B">
      <w:pPr>
        <w:pStyle w:val="1"/>
        <w:spacing w:before="0" w:after="0" w:line="500" w:lineRule="exact"/>
      </w:pPr>
      <w:r>
        <w:rPr>
          <w:rFonts w:hint="eastAsia"/>
        </w:rPr>
        <w:t xml:space="preserve">8 </w:t>
      </w:r>
      <w:r>
        <w:t>采用国际标准和国外先进标准情况，与国际、国外同类标准水平的对比情况，国内外关键指标对比分析或与测试的国外样品、样机的相关数据对比情况</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不适用。</w:t>
      </w:r>
    </w:p>
    <w:p w:rsidR="00DF158F" w:rsidRDefault="00BE059B">
      <w:pPr>
        <w:pStyle w:val="1"/>
        <w:spacing w:before="0" w:after="0" w:line="500" w:lineRule="exact"/>
      </w:pPr>
      <w:r>
        <w:rPr>
          <w:rFonts w:hint="eastAsia"/>
        </w:rPr>
        <w:t xml:space="preserve">9 </w:t>
      </w:r>
      <w:r>
        <w:t>与现行相关法律、法规、规章及相关标准，特别是强制性标准的协调性</w:t>
      </w:r>
    </w:p>
    <w:p w:rsidR="00DF158F" w:rsidRDefault="00BE059B">
      <w:pPr>
        <w:spacing w:line="500" w:lineRule="exact"/>
        <w:ind w:firstLineChars="200" w:firstLine="480"/>
        <w:outlineLvl w:val="0"/>
        <w:rPr>
          <w:sz w:val="24"/>
        </w:rPr>
      </w:pPr>
      <w:r>
        <w:rPr>
          <w:rFonts w:ascii="等线" w:eastAsia="等线" w:hAnsi="等线" w:cs="Times New Roman" w:hint="eastAsia"/>
          <w:sz w:val="24"/>
        </w:rPr>
        <w:t>本标准与现行相关法律、法规、规章及相关标准的协调性完全一致。</w:t>
      </w:r>
    </w:p>
    <w:p w:rsidR="00DF158F" w:rsidRDefault="00BE059B">
      <w:pPr>
        <w:pStyle w:val="1"/>
        <w:spacing w:before="0" w:after="0" w:line="500" w:lineRule="exact"/>
      </w:pPr>
      <w:r>
        <w:rPr>
          <w:rFonts w:hint="eastAsia"/>
        </w:rPr>
        <w:t xml:space="preserve">10 </w:t>
      </w:r>
      <w:r>
        <w:t>重大分歧意见的处理经过和依据</w:t>
      </w:r>
    </w:p>
    <w:p w:rsidR="00DF158F" w:rsidRDefault="00BE059B">
      <w:pPr>
        <w:spacing w:line="500" w:lineRule="exact"/>
        <w:ind w:firstLineChars="200" w:firstLine="480"/>
        <w:outlineLvl w:val="0"/>
        <w:rPr>
          <w:sz w:val="24"/>
        </w:rPr>
      </w:pPr>
      <w:r>
        <w:rPr>
          <w:rFonts w:ascii="等线" w:eastAsia="等线" w:hAnsi="等线" w:cs="Times New Roman" w:hint="eastAsia"/>
          <w:sz w:val="24"/>
        </w:rPr>
        <w:t>无。</w:t>
      </w:r>
    </w:p>
    <w:p w:rsidR="00DF158F" w:rsidRDefault="00BE059B">
      <w:pPr>
        <w:pStyle w:val="1"/>
        <w:spacing w:before="0" w:after="0" w:line="500" w:lineRule="exact"/>
      </w:pPr>
      <w:r>
        <w:rPr>
          <w:rFonts w:hint="eastAsia"/>
        </w:rPr>
        <w:t xml:space="preserve">11 </w:t>
      </w:r>
      <w:r>
        <w:t>标准性质的建议说明</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本标准是以墙体</w:t>
      </w:r>
      <w:r w:rsidR="003028F7">
        <w:rPr>
          <w:rFonts w:ascii="宋体" w:eastAsia="宋体" w:hAnsi="宋体" w:hint="eastAsia"/>
          <w:sz w:val="24"/>
          <w:szCs w:val="24"/>
        </w:rPr>
        <w:t>板材</w:t>
      </w:r>
      <w:r>
        <w:rPr>
          <w:rFonts w:ascii="宋体" w:eastAsia="宋体" w:hAnsi="宋体" w:hint="eastAsia"/>
          <w:sz w:val="24"/>
          <w:szCs w:val="24"/>
        </w:rPr>
        <w:t>行业工厂为主体进行的绿色工厂评价标准，建议以行业标准发布。</w:t>
      </w:r>
    </w:p>
    <w:p w:rsidR="00DF158F" w:rsidRDefault="00BE059B">
      <w:pPr>
        <w:pStyle w:val="1"/>
        <w:spacing w:before="0" w:after="0" w:line="500" w:lineRule="exact"/>
      </w:pPr>
      <w:r>
        <w:t>1</w:t>
      </w:r>
      <w:r>
        <w:rPr>
          <w:rFonts w:hint="eastAsia"/>
        </w:rPr>
        <w:t>2</w:t>
      </w:r>
      <w:r>
        <w:t>贯彻标准的要求和措施建议（包括组织措施、技术措施、过度办法、实施日期等）</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本标准的制定不仅完善了国内墙体材料行业绿色评价标准体系，而且对指导墙体板材行业创建和评价绿色工厂起到引导作用。所以，在标准发布实施后，应对生产企业做好标准的宣贯工作，让企业全面理解标准要求，同时建议政府出台相关绿色工厂的鼓励政策。只有通过企业和政府的双重支持，才能发挥本标准的引领作用。</w:t>
      </w:r>
    </w:p>
    <w:p w:rsidR="00DF158F" w:rsidRDefault="00BE059B">
      <w:pPr>
        <w:pStyle w:val="1"/>
        <w:spacing w:before="0" w:after="0" w:line="500" w:lineRule="exact"/>
      </w:pPr>
      <w:r>
        <w:t>1</w:t>
      </w:r>
      <w:r>
        <w:rPr>
          <w:rFonts w:hint="eastAsia"/>
        </w:rPr>
        <w:t xml:space="preserve">3 </w:t>
      </w:r>
      <w:r>
        <w:t>废止现行相关标准的建议</w:t>
      </w:r>
    </w:p>
    <w:p w:rsidR="00DF158F" w:rsidRDefault="00BE059B">
      <w:pPr>
        <w:spacing w:line="500" w:lineRule="exact"/>
        <w:ind w:firstLineChars="200" w:firstLine="480"/>
        <w:rPr>
          <w:rFonts w:ascii="宋体" w:eastAsia="宋体" w:hAnsi="宋体"/>
          <w:sz w:val="24"/>
          <w:szCs w:val="24"/>
        </w:rPr>
      </w:pPr>
      <w:r>
        <w:rPr>
          <w:rFonts w:ascii="宋体" w:eastAsia="宋体" w:hAnsi="宋体" w:hint="eastAsia"/>
          <w:sz w:val="24"/>
          <w:szCs w:val="24"/>
        </w:rPr>
        <w:t>无。</w:t>
      </w:r>
    </w:p>
    <w:p w:rsidR="00DF158F" w:rsidRDefault="00BE059B">
      <w:pPr>
        <w:pStyle w:val="1"/>
        <w:spacing w:before="0" w:after="0" w:line="500" w:lineRule="exact"/>
      </w:pPr>
      <w:r>
        <w:t>1</w:t>
      </w:r>
      <w:r>
        <w:rPr>
          <w:rFonts w:hint="eastAsia"/>
        </w:rPr>
        <w:t xml:space="preserve">4 </w:t>
      </w:r>
      <w:r>
        <w:t>其它应予说明的事项</w:t>
      </w:r>
    </w:p>
    <w:p w:rsidR="00DF158F" w:rsidRDefault="00BE059B">
      <w:pPr>
        <w:spacing w:line="500" w:lineRule="exact"/>
        <w:ind w:firstLineChars="200" w:firstLine="480"/>
        <w:outlineLvl w:val="0"/>
        <w:rPr>
          <w:sz w:val="24"/>
        </w:rPr>
      </w:pPr>
      <w:r>
        <w:rPr>
          <w:rFonts w:hint="eastAsia"/>
          <w:sz w:val="24"/>
        </w:rPr>
        <w:t>无。</w:t>
      </w:r>
    </w:p>
    <w:p w:rsidR="00DF158F" w:rsidRDefault="009A706D">
      <w:pPr>
        <w:spacing w:line="500" w:lineRule="exact"/>
        <w:ind w:firstLineChars="200" w:firstLine="480"/>
        <w:rPr>
          <w:rFonts w:ascii="宋体" w:eastAsia="宋体" w:hAnsi="宋体"/>
          <w:sz w:val="24"/>
        </w:rPr>
      </w:pPr>
      <w:r>
        <w:rPr>
          <w:rFonts w:ascii="宋体" w:eastAsia="宋体" w:hAnsi="宋体" w:hint="eastAsia"/>
          <w:sz w:val="24"/>
        </w:rPr>
        <w:t xml:space="preserve"> </w:t>
      </w:r>
    </w:p>
    <w:p w:rsidR="00DF158F" w:rsidRDefault="00DF158F">
      <w:pPr>
        <w:spacing w:line="500" w:lineRule="exact"/>
        <w:ind w:firstLineChars="200" w:firstLine="480"/>
        <w:rPr>
          <w:rFonts w:ascii="宋体" w:eastAsia="宋体" w:hAnsi="宋体"/>
          <w:sz w:val="24"/>
          <w:szCs w:val="24"/>
        </w:rPr>
      </w:pPr>
    </w:p>
    <w:sectPr w:rsidR="00DF158F" w:rsidSect="00DF158F">
      <w:footerReference w:type="default" r:id="rId12"/>
      <w:type w:val="continuous"/>
      <w:pgSz w:w="11906" w:h="16838"/>
      <w:pgMar w:top="1418" w:right="1247" w:bottom="1134"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AB" w:rsidRDefault="003E73AB" w:rsidP="00DF158F">
      <w:r>
        <w:separator/>
      </w:r>
    </w:p>
  </w:endnote>
  <w:endnote w:type="continuationSeparator" w:id="1">
    <w:p w:rsidR="003E73AB" w:rsidRDefault="003E73AB" w:rsidP="00DF158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8F" w:rsidRDefault="00DF158F">
    <w:pPr>
      <w:pStyle w:val="ab"/>
      <w:jc w:val="center"/>
    </w:pPr>
  </w:p>
  <w:p w:rsidR="00DF158F" w:rsidRDefault="00DF158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8F" w:rsidRDefault="00DF15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AB" w:rsidRDefault="003E73AB" w:rsidP="00DF158F">
      <w:r>
        <w:separator/>
      </w:r>
    </w:p>
  </w:footnote>
  <w:footnote w:type="continuationSeparator" w:id="1">
    <w:p w:rsidR="003E73AB" w:rsidRDefault="003E73AB" w:rsidP="00DF1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51"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D733618"/>
    <w:multiLevelType w:val="multilevel"/>
    <w:tmpl w:val="3D733618"/>
    <w:lvl w:ilvl="0">
      <w:start w:val="1"/>
      <w:numFmt w:val="decimal"/>
      <w:pStyle w:val="a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740"/>
    <w:rsid w:val="00000E53"/>
    <w:rsid w:val="000037B6"/>
    <w:rsid w:val="00003FD9"/>
    <w:rsid w:val="000106B6"/>
    <w:rsid w:val="00012081"/>
    <w:rsid w:val="000220A2"/>
    <w:rsid w:val="000233E9"/>
    <w:rsid w:val="00025CA4"/>
    <w:rsid w:val="00027A63"/>
    <w:rsid w:val="00045C03"/>
    <w:rsid w:val="000460DF"/>
    <w:rsid w:val="0004792B"/>
    <w:rsid w:val="00051F64"/>
    <w:rsid w:val="00052EC3"/>
    <w:rsid w:val="0005448A"/>
    <w:rsid w:val="00063047"/>
    <w:rsid w:val="00063486"/>
    <w:rsid w:val="00074010"/>
    <w:rsid w:val="00083A1B"/>
    <w:rsid w:val="00087E6F"/>
    <w:rsid w:val="0009118A"/>
    <w:rsid w:val="000A3F19"/>
    <w:rsid w:val="000A4067"/>
    <w:rsid w:val="000A41AA"/>
    <w:rsid w:val="000A65F6"/>
    <w:rsid w:val="000B0FB6"/>
    <w:rsid w:val="000B289B"/>
    <w:rsid w:val="000C2F94"/>
    <w:rsid w:val="000C482D"/>
    <w:rsid w:val="000C4985"/>
    <w:rsid w:val="000C4B51"/>
    <w:rsid w:val="000C5B0B"/>
    <w:rsid w:val="000C70E5"/>
    <w:rsid w:val="000D3286"/>
    <w:rsid w:val="000D6C19"/>
    <w:rsid w:val="000D6EF4"/>
    <w:rsid w:val="000D7B52"/>
    <w:rsid w:val="000E1A96"/>
    <w:rsid w:val="000E64F7"/>
    <w:rsid w:val="000F1C70"/>
    <w:rsid w:val="000F3110"/>
    <w:rsid w:val="000F42AD"/>
    <w:rsid w:val="000F589A"/>
    <w:rsid w:val="00100A22"/>
    <w:rsid w:val="001036EC"/>
    <w:rsid w:val="001056F0"/>
    <w:rsid w:val="00105FBE"/>
    <w:rsid w:val="00116AE2"/>
    <w:rsid w:val="00122305"/>
    <w:rsid w:val="0012284A"/>
    <w:rsid w:val="00130BD4"/>
    <w:rsid w:val="00137935"/>
    <w:rsid w:val="001518C2"/>
    <w:rsid w:val="00152F04"/>
    <w:rsid w:val="00164BAD"/>
    <w:rsid w:val="001665D1"/>
    <w:rsid w:val="00170A3D"/>
    <w:rsid w:val="0017172D"/>
    <w:rsid w:val="00173745"/>
    <w:rsid w:val="00173F75"/>
    <w:rsid w:val="00175131"/>
    <w:rsid w:val="00180822"/>
    <w:rsid w:val="00187621"/>
    <w:rsid w:val="00197160"/>
    <w:rsid w:val="001A0899"/>
    <w:rsid w:val="001A1510"/>
    <w:rsid w:val="001B6039"/>
    <w:rsid w:val="001C0784"/>
    <w:rsid w:val="001C0C92"/>
    <w:rsid w:val="001C27DD"/>
    <w:rsid w:val="001D626E"/>
    <w:rsid w:val="001E0133"/>
    <w:rsid w:val="001E69CD"/>
    <w:rsid w:val="001E7A75"/>
    <w:rsid w:val="001F4302"/>
    <w:rsid w:val="001F79BA"/>
    <w:rsid w:val="00204244"/>
    <w:rsid w:val="00204334"/>
    <w:rsid w:val="00216537"/>
    <w:rsid w:val="00217BF3"/>
    <w:rsid w:val="002217F3"/>
    <w:rsid w:val="00224EEE"/>
    <w:rsid w:val="00236CCC"/>
    <w:rsid w:val="00237D75"/>
    <w:rsid w:val="002420CC"/>
    <w:rsid w:val="002438A5"/>
    <w:rsid w:val="00244255"/>
    <w:rsid w:val="002455F3"/>
    <w:rsid w:val="00245A3A"/>
    <w:rsid w:val="00246524"/>
    <w:rsid w:val="00253F3F"/>
    <w:rsid w:val="00255015"/>
    <w:rsid w:val="00262857"/>
    <w:rsid w:val="00266080"/>
    <w:rsid w:val="00266F5B"/>
    <w:rsid w:val="00267669"/>
    <w:rsid w:val="002701E3"/>
    <w:rsid w:val="002718E9"/>
    <w:rsid w:val="002736A5"/>
    <w:rsid w:val="00275C49"/>
    <w:rsid w:val="00275CAF"/>
    <w:rsid w:val="00277441"/>
    <w:rsid w:val="00280D3C"/>
    <w:rsid w:val="002875F9"/>
    <w:rsid w:val="0029279D"/>
    <w:rsid w:val="00292B94"/>
    <w:rsid w:val="002A62F6"/>
    <w:rsid w:val="002A745B"/>
    <w:rsid w:val="002B4006"/>
    <w:rsid w:val="002B467E"/>
    <w:rsid w:val="002B5B9F"/>
    <w:rsid w:val="002C1D70"/>
    <w:rsid w:val="002C2709"/>
    <w:rsid w:val="002D3615"/>
    <w:rsid w:val="002D47DD"/>
    <w:rsid w:val="002E5895"/>
    <w:rsid w:val="002E6CE9"/>
    <w:rsid w:val="002F42D9"/>
    <w:rsid w:val="002F7FEF"/>
    <w:rsid w:val="00300D4D"/>
    <w:rsid w:val="003028F7"/>
    <w:rsid w:val="003068C1"/>
    <w:rsid w:val="003151A8"/>
    <w:rsid w:val="00315EE1"/>
    <w:rsid w:val="00316B6B"/>
    <w:rsid w:val="0032099D"/>
    <w:rsid w:val="00335D3D"/>
    <w:rsid w:val="00342B2B"/>
    <w:rsid w:val="0034724F"/>
    <w:rsid w:val="00347581"/>
    <w:rsid w:val="00351404"/>
    <w:rsid w:val="003544EF"/>
    <w:rsid w:val="00354588"/>
    <w:rsid w:val="00354997"/>
    <w:rsid w:val="003561FF"/>
    <w:rsid w:val="00357792"/>
    <w:rsid w:val="00372D33"/>
    <w:rsid w:val="0037762F"/>
    <w:rsid w:val="003826F9"/>
    <w:rsid w:val="00383C67"/>
    <w:rsid w:val="003916D9"/>
    <w:rsid w:val="00393063"/>
    <w:rsid w:val="003A2BB7"/>
    <w:rsid w:val="003A35A1"/>
    <w:rsid w:val="003A5ABB"/>
    <w:rsid w:val="003B785B"/>
    <w:rsid w:val="003C16C6"/>
    <w:rsid w:val="003C2AB2"/>
    <w:rsid w:val="003C2E7B"/>
    <w:rsid w:val="003C30E6"/>
    <w:rsid w:val="003D6EB9"/>
    <w:rsid w:val="003D7B66"/>
    <w:rsid w:val="003D7DBD"/>
    <w:rsid w:val="003E6BF7"/>
    <w:rsid w:val="003E73AB"/>
    <w:rsid w:val="003F1FCF"/>
    <w:rsid w:val="003F2E88"/>
    <w:rsid w:val="0040527A"/>
    <w:rsid w:val="004054DB"/>
    <w:rsid w:val="0040790C"/>
    <w:rsid w:val="0041131D"/>
    <w:rsid w:val="004119AA"/>
    <w:rsid w:val="00414736"/>
    <w:rsid w:val="00414D3C"/>
    <w:rsid w:val="00416533"/>
    <w:rsid w:val="00421A5F"/>
    <w:rsid w:val="00421D46"/>
    <w:rsid w:val="0042555D"/>
    <w:rsid w:val="00425F04"/>
    <w:rsid w:val="00426D1D"/>
    <w:rsid w:val="00426EC2"/>
    <w:rsid w:val="00434818"/>
    <w:rsid w:val="00437A26"/>
    <w:rsid w:val="0044148B"/>
    <w:rsid w:val="004457CE"/>
    <w:rsid w:val="00445882"/>
    <w:rsid w:val="00447CE9"/>
    <w:rsid w:val="00463860"/>
    <w:rsid w:val="00463A79"/>
    <w:rsid w:val="00463CD4"/>
    <w:rsid w:val="00464387"/>
    <w:rsid w:val="00470E3D"/>
    <w:rsid w:val="00472EA3"/>
    <w:rsid w:val="00481587"/>
    <w:rsid w:val="004863C4"/>
    <w:rsid w:val="00495E8D"/>
    <w:rsid w:val="0049639F"/>
    <w:rsid w:val="00497BA9"/>
    <w:rsid w:val="004A14F1"/>
    <w:rsid w:val="004A43D1"/>
    <w:rsid w:val="004A6B92"/>
    <w:rsid w:val="004B03F8"/>
    <w:rsid w:val="004C2C0D"/>
    <w:rsid w:val="004C3BB0"/>
    <w:rsid w:val="004C4965"/>
    <w:rsid w:val="004C6B68"/>
    <w:rsid w:val="004C6D0E"/>
    <w:rsid w:val="004C7E5A"/>
    <w:rsid w:val="004D5CA9"/>
    <w:rsid w:val="004D642D"/>
    <w:rsid w:val="004D7999"/>
    <w:rsid w:val="004E5196"/>
    <w:rsid w:val="004E58C6"/>
    <w:rsid w:val="004F0B11"/>
    <w:rsid w:val="004F11F9"/>
    <w:rsid w:val="004F1D12"/>
    <w:rsid w:val="004F2C38"/>
    <w:rsid w:val="004F2CA1"/>
    <w:rsid w:val="004F5910"/>
    <w:rsid w:val="00503F9C"/>
    <w:rsid w:val="00511693"/>
    <w:rsid w:val="0051634A"/>
    <w:rsid w:val="0051769A"/>
    <w:rsid w:val="00520660"/>
    <w:rsid w:val="0052731A"/>
    <w:rsid w:val="00527882"/>
    <w:rsid w:val="005346FC"/>
    <w:rsid w:val="00545AD7"/>
    <w:rsid w:val="00546523"/>
    <w:rsid w:val="00553348"/>
    <w:rsid w:val="00553C14"/>
    <w:rsid w:val="00557153"/>
    <w:rsid w:val="0055795B"/>
    <w:rsid w:val="0056337F"/>
    <w:rsid w:val="0056512F"/>
    <w:rsid w:val="005661B2"/>
    <w:rsid w:val="00566E54"/>
    <w:rsid w:val="005715D0"/>
    <w:rsid w:val="00574AFB"/>
    <w:rsid w:val="0057552F"/>
    <w:rsid w:val="00576C71"/>
    <w:rsid w:val="00583A54"/>
    <w:rsid w:val="00583A82"/>
    <w:rsid w:val="00584147"/>
    <w:rsid w:val="0058506C"/>
    <w:rsid w:val="00585AD0"/>
    <w:rsid w:val="005869F6"/>
    <w:rsid w:val="00592074"/>
    <w:rsid w:val="005937C7"/>
    <w:rsid w:val="00594134"/>
    <w:rsid w:val="005A14E1"/>
    <w:rsid w:val="005A2E2D"/>
    <w:rsid w:val="005A61EB"/>
    <w:rsid w:val="005A7144"/>
    <w:rsid w:val="005B0248"/>
    <w:rsid w:val="005C01C1"/>
    <w:rsid w:val="005C353F"/>
    <w:rsid w:val="005D1038"/>
    <w:rsid w:val="005D236F"/>
    <w:rsid w:val="005D6932"/>
    <w:rsid w:val="005E17F4"/>
    <w:rsid w:val="005E29A8"/>
    <w:rsid w:val="005E2F4B"/>
    <w:rsid w:val="005E67AF"/>
    <w:rsid w:val="005F0460"/>
    <w:rsid w:val="005F33A3"/>
    <w:rsid w:val="005F3682"/>
    <w:rsid w:val="00600DCD"/>
    <w:rsid w:val="0060222E"/>
    <w:rsid w:val="00604E2C"/>
    <w:rsid w:val="006058E2"/>
    <w:rsid w:val="00607953"/>
    <w:rsid w:val="006165EC"/>
    <w:rsid w:val="006247DD"/>
    <w:rsid w:val="006307AA"/>
    <w:rsid w:val="00641BAF"/>
    <w:rsid w:val="0064377A"/>
    <w:rsid w:val="006503B3"/>
    <w:rsid w:val="00653CAC"/>
    <w:rsid w:val="0065597E"/>
    <w:rsid w:val="00656291"/>
    <w:rsid w:val="006658D6"/>
    <w:rsid w:val="00671326"/>
    <w:rsid w:val="00672BF3"/>
    <w:rsid w:val="00682601"/>
    <w:rsid w:val="00682B39"/>
    <w:rsid w:val="00683F9C"/>
    <w:rsid w:val="006859A7"/>
    <w:rsid w:val="006869E1"/>
    <w:rsid w:val="00690922"/>
    <w:rsid w:val="006A5A4B"/>
    <w:rsid w:val="006B7CF5"/>
    <w:rsid w:val="006C08C1"/>
    <w:rsid w:val="006D1065"/>
    <w:rsid w:val="006D3DD8"/>
    <w:rsid w:val="006D5D4C"/>
    <w:rsid w:val="006E31AE"/>
    <w:rsid w:val="006F1CFD"/>
    <w:rsid w:val="006F2669"/>
    <w:rsid w:val="006F4BA8"/>
    <w:rsid w:val="006F7A41"/>
    <w:rsid w:val="00700920"/>
    <w:rsid w:val="0071475D"/>
    <w:rsid w:val="00714901"/>
    <w:rsid w:val="007152F3"/>
    <w:rsid w:val="00740D63"/>
    <w:rsid w:val="0074202B"/>
    <w:rsid w:val="007438E9"/>
    <w:rsid w:val="00745B71"/>
    <w:rsid w:val="00755EE6"/>
    <w:rsid w:val="00763E9A"/>
    <w:rsid w:val="007743C3"/>
    <w:rsid w:val="0078068F"/>
    <w:rsid w:val="00781D3F"/>
    <w:rsid w:val="0079104B"/>
    <w:rsid w:val="007927D7"/>
    <w:rsid w:val="00796747"/>
    <w:rsid w:val="007A6840"/>
    <w:rsid w:val="007B3EA3"/>
    <w:rsid w:val="007B795A"/>
    <w:rsid w:val="007C1542"/>
    <w:rsid w:val="007C588E"/>
    <w:rsid w:val="007E2BAE"/>
    <w:rsid w:val="007E4C73"/>
    <w:rsid w:val="007E526A"/>
    <w:rsid w:val="007E535C"/>
    <w:rsid w:val="007E5D83"/>
    <w:rsid w:val="007E7A7C"/>
    <w:rsid w:val="007F05F9"/>
    <w:rsid w:val="007F50C4"/>
    <w:rsid w:val="007F634E"/>
    <w:rsid w:val="00802642"/>
    <w:rsid w:val="00803857"/>
    <w:rsid w:val="008064C0"/>
    <w:rsid w:val="00811465"/>
    <w:rsid w:val="008218DC"/>
    <w:rsid w:val="00821C88"/>
    <w:rsid w:val="00823152"/>
    <w:rsid w:val="0082498D"/>
    <w:rsid w:val="00825AE4"/>
    <w:rsid w:val="0082657C"/>
    <w:rsid w:val="00830ED9"/>
    <w:rsid w:val="00832666"/>
    <w:rsid w:val="00837CBD"/>
    <w:rsid w:val="00845E7B"/>
    <w:rsid w:val="008505AE"/>
    <w:rsid w:val="00854741"/>
    <w:rsid w:val="008558A7"/>
    <w:rsid w:val="00865BCE"/>
    <w:rsid w:val="00872AA8"/>
    <w:rsid w:val="00875CC6"/>
    <w:rsid w:val="008770C7"/>
    <w:rsid w:val="0088039C"/>
    <w:rsid w:val="00881CB3"/>
    <w:rsid w:val="00882BE8"/>
    <w:rsid w:val="00883B47"/>
    <w:rsid w:val="0088536A"/>
    <w:rsid w:val="00893AD9"/>
    <w:rsid w:val="008A5C49"/>
    <w:rsid w:val="008B0B39"/>
    <w:rsid w:val="008C3785"/>
    <w:rsid w:val="008C3C80"/>
    <w:rsid w:val="008C64BB"/>
    <w:rsid w:val="008D2194"/>
    <w:rsid w:val="008D391B"/>
    <w:rsid w:val="008D5F84"/>
    <w:rsid w:val="008D7644"/>
    <w:rsid w:val="008E477E"/>
    <w:rsid w:val="008E63AE"/>
    <w:rsid w:val="008E73B0"/>
    <w:rsid w:val="008F36C1"/>
    <w:rsid w:val="008F7517"/>
    <w:rsid w:val="009047F4"/>
    <w:rsid w:val="00905A74"/>
    <w:rsid w:val="00907748"/>
    <w:rsid w:val="009077CE"/>
    <w:rsid w:val="00920CF0"/>
    <w:rsid w:val="009326DC"/>
    <w:rsid w:val="00933459"/>
    <w:rsid w:val="00934EEA"/>
    <w:rsid w:val="00945D9B"/>
    <w:rsid w:val="009506BF"/>
    <w:rsid w:val="009524C3"/>
    <w:rsid w:val="00956F9A"/>
    <w:rsid w:val="00962BD8"/>
    <w:rsid w:val="00963AE9"/>
    <w:rsid w:val="00965849"/>
    <w:rsid w:val="009716DF"/>
    <w:rsid w:val="00972E03"/>
    <w:rsid w:val="00987AE2"/>
    <w:rsid w:val="00993A25"/>
    <w:rsid w:val="009A0506"/>
    <w:rsid w:val="009A545D"/>
    <w:rsid w:val="009A6207"/>
    <w:rsid w:val="009A706D"/>
    <w:rsid w:val="009B11B4"/>
    <w:rsid w:val="009B7844"/>
    <w:rsid w:val="009C25C7"/>
    <w:rsid w:val="009C4561"/>
    <w:rsid w:val="009C4B56"/>
    <w:rsid w:val="009C784D"/>
    <w:rsid w:val="009D28D4"/>
    <w:rsid w:val="009D566A"/>
    <w:rsid w:val="009E099F"/>
    <w:rsid w:val="009E2264"/>
    <w:rsid w:val="009E2AEE"/>
    <w:rsid w:val="009E7C0C"/>
    <w:rsid w:val="009F1A0E"/>
    <w:rsid w:val="00A02598"/>
    <w:rsid w:val="00A04653"/>
    <w:rsid w:val="00A129ED"/>
    <w:rsid w:val="00A13BAF"/>
    <w:rsid w:val="00A13CA9"/>
    <w:rsid w:val="00A31C7A"/>
    <w:rsid w:val="00A353B1"/>
    <w:rsid w:val="00A43807"/>
    <w:rsid w:val="00A44740"/>
    <w:rsid w:val="00A5012D"/>
    <w:rsid w:val="00A51695"/>
    <w:rsid w:val="00A70C3A"/>
    <w:rsid w:val="00A86A1D"/>
    <w:rsid w:val="00A91621"/>
    <w:rsid w:val="00A91D15"/>
    <w:rsid w:val="00A94795"/>
    <w:rsid w:val="00A96687"/>
    <w:rsid w:val="00AA1306"/>
    <w:rsid w:val="00AA4741"/>
    <w:rsid w:val="00AB7779"/>
    <w:rsid w:val="00AC4137"/>
    <w:rsid w:val="00AC60F5"/>
    <w:rsid w:val="00AD024D"/>
    <w:rsid w:val="00AD160C"/>
    <w:rsid w:val="00AD2A47"/>
    <w:rsid w:val="00AE7D83"/>
    <w:rsid w:val="00AF0F17"/>
    <w:rsid w:val="00B005E7"/>
    <w:rsid w:val="00B008CF"/>
    <w:rsid w:val="00B022D7"/>
    <w:rsid w:val="00B074F3"/>
    <w:rsid w:val="00B1149B"/>
    <w:rsid w:val="00B1473F"/>
    <w:rsid w:val="00B223D7"/>
    <w:rsid w:val="00B3385A"/>
    <w:rsid w:val="00B3527B"/>
    <w:rsid w:val="00B45D2D"/>
    <w:rsid w:val="00B461C3"/>
    <w:rsid w:val="00B5006C"/>
    <w:rsid w:val="00B52786"/>
    <w:rsid w:val="00B608F5"/>
    <w:rsid w:val="00B61856"/>
    <w:rsid w:val="00B64C2F"/>
    <w:rsid w:val="00B64F17"/>
    <w:rsid w:val="00B677B5"/>
    <w:rsid w:val="00B67C1A"/>
    <w:rsid w:val="00B67FF4"/>
    <w:rsid w:val="00B7327F"/>
    <w:rsid w:val="00B739DF"/>
    <w:rsid w:val="00B75047"/>
    <w:rsid w:val="00B832C3"/>
    <w:rsid w:val="00B87B54"/>
    <w:rsid w:val="00B9169D"/>
    <w:rsid w:val="00B963C8"/>
    <w:rsid w:val="00BA38D2"/>
    <w:rsid w:val="00BA66D5"/>
    <w:rsid w:val="00BC38C2"/>
    <w:rsid w:val="00BC518D"/>
    <w:rsid w:val="00BC5B57"/>
    <w:rsid w:val="00BC6932"/>
    <w:rsid w:val="00BD25A3"/>
    <w:rsid w:val="00BE059B"/>
    <w:rsid w:val="00BE32AE"/>
    <w:rsid w:val="00C03B0D"/>
    <w:rsid w:val="00C10286"/>
    <w:rsid w:val="00C21472"/>
    <w:rsid w:val="00C23E47"/>
    <w:rsid w:val="00C24A62"/>
    <w:rsid w:val="00C415E2"/>
    <w:rsid w:val="00C53B7C"/>
    <w:rsid w:val="00C61F8B"/>
    <w:rsid w:val="00C74C75"/>
    <w:rsid w:val="00C808BA"/>
    <w:rsid w:val="00C8546F"/>
    <w:rsid w:val="00C90D44"/>
    <w:rsid w:val="00C93F57"/>
    <w:rsid w:val="00C96E24"/>
    <w:rsid w:val="00C97503"/>
    <w:rsid w:val="00CA0321"/>
    <w:rsid w:val="00CA1F63"/>
    <w:rsid w:val="00CA3085"/>
    <w:rsid w:val="00CA4741"/>
    <w:rsid w:val="00CB6037"/>
    <w:rsid w:val="00CC3589"/>
    <w:rsid w:val="00CC5B62"/>
    <w:rsid w:val="00CD19C1"/>
    <w:rsid w:val="00CD38C7"/>
    <w:rsid w:val="00CE02F1"/>
    <w:rsid w:val="00CE1C13"/>
    <w:rsid w:val="00CE5846"/>
    <w:rsid w:val="00CE7668"/>
    <w:rsid w:val="00CF1EBD"/>
    <w:rsid w:val="00D06D39"/>
    <w:rsid w:val="00D20065"/>
    <w:rsid w:val="00D2165E"/>
    <w:rsid w:val="00D23CAF"/>
    <w:rsid w:val="00D32F1D"/>
    <w:rsid w:val="00D33FE2"/>
    <w:rsid w:val="00D41A5B"/>
    <w:rsid w:val="00D46DB5"/>
    <w:rsid w:val="00D5675C"/>
    <w:rsid w:val="00D62F66"/>
    <w:rsid w:val="00D63304"/>
    <w:rsid w:val="00D65FE5"/>
    <w:rsid w:val="00D70F3D"/>
    <w:rsid w:val="00D721DC"/>
    <w:rsid w:val="00D773B4"/>
    <w:rsid w:val="00D82953"/>
    <w:rsid w:val="00DA188B"/>
    <w:rsid w:val="00DA39AD"/>
    <w:rsid w:val="00DA4EE1"/>
    <w:rsid w:val="00DA7950"/>
    <w:rsid w:val="00DB052D"/>
    <w:rsid w:val="00DC287B"/>
    <w:rsid w:val="00DD18D2"/>
    <w:rsid w:val="00DD5A31"/>
    <w:rsid w:val="00DD5F6B"/>
    <w:rsid w:val="00DD6FF9"/>
    <w:rsid w:val="00DE205A"/>
    <w:rsid w:val="00DE2346"/>
    <w:rsid w:val="00DE7A11"/>
    <w:rsid w:val="00DF090A"/>
    <w:rsid w:val="00DF158F"/>
    <w:rsid w:val="00DF2DCE"/>
    <w:rsid w:val="00E1038F"/>
    <w:rsid w:val="00E236CE"/>
    <w:rsid w:val="00E2490F"/>
    <w:rsid w:val="00E25CC8"/>
    <w:rsid w:val="00E303FB"/>
    <w:rsid w:val="00E314D4"/>
    <w:rsid w:val="00E35C71"/>
    <w:rsid w:val="00E403C5"/>
    <w:rsid w:val="00E42308"/>
    <w:rsid w:val="00E45599"/>
    <w:rsid w:val="00E45FF4"/>
    <w:rsid w:val="00E501F7"/>
    <w:rsid w:val="00E51F5E"/>
    <w:rsid w:val="00E526A9"/>
    <w:rsid w:val="00E542D9"/>
    <w:rsid w:val="00E62380"/>
    <w:rsid w:val="00E67E17"/>
    <w:rsid w:val="00E746A0"/>
    <w:rsid w:val="00E74EBA"/>
    <w:rsid w:val="00E90F52"/>
    <w:rsid w:val="00E94165"/>
    <w:rsid w:val="00E95F84"/>
    <w:rsid w:val="00EA2A11"/>
    <w:rsid w:val="00EA342C"/>
    <w:rsid w:val="00EA35C4"/>
    <w:rsid w:val="00EA3E8F"/>
    <w:rsid w:val="00EB06B7"/>
    <w:rsid w:val="00EB77DE"/>
    <w:rsid w:val="00EC0AB8"/>
    <w:rsid w:val="00EC3735"/>
    <w:rsid w:val="00EC492B"/>
    <w:rsid w:val="00ED0E64"/>
    <w:rsid w:val="00ED5793"/>
    <w:rsid w:val="00ED67B4"/>
    <w:rsid w:val="00ED731C"/>
    <w:rsid w:val="00ED7FE6"/>
    <w:rsid w:val="00F0444B"/>
    <w:rsid w:val="00F068F8"/>
    <w:rsid w:val="00F07AFE"/>
    <w:rsid w:val="00F13483"/>
    <w:rsid w:val="00F20C2E"/>
    <w:rsid w:val="00F24B5A"/>
    <w:rsid w:val="00F26E29"/>
    <w:rsid w:val="00F30CC6"/>
    <w:rsid w:val="00F32FC3"/>
    <w:rsid w:val="00F33FC7"/>
    <w:rsid w:val="00F43C8D"/>
    <w:rsid w:val="00F46BD4"/>
    <w:rsid w:val="00F50610"/>
    <w:rsid w:val="00F51D2F"/>
    <w:rsid w:val="00F52585"/>
    <w:rsid w:val="00F5318D"/>
    <w:rsid w:val="00F57E28"/>
    <w:rsid w:val="00F633E5"/>
    <w:rsid w:val="00F719BE"/>
    <w:rsid w:val="00F71EAE"/>
    <w:rsid w:val="00F773F7"/>
    <w:rsid w:val="00F84760"/>
    <w:rsid w:val="00F91226"/>
    <w:rsid w:val="00F9233C"/>
    <w:rsid w:val="00F93D7D"/>
    <w:rsid w:val="00FB039D"/>
    <w:rsid w:val="00FB4D08"/>
    <w:rsid w:val="00FC0CAA"/>
    <w:rsid w:val="00FD41AA"/>
    <w:rsid w:val="00FD5C57"/>
    <w:rsid w:val="00FD7168"/>
    <w:rsid w:val="00FD73B1"/>
    <w:rsid w:val="00FE28A7"/>
    <w:rsid w:val="00FE341A"/>
    <w:rsid w:val="00FE3F31"/>
    <w:rsid w:val="00FE7320"/>
    <w:rsid w:val="00FF0F2D"/>
    <w:rsid w:val="00FF248A"/>
    <w:rsid w:val="29AB2D0A"/>
    <w:rsid w:val="43C01183"/>
    <w:rsid w:val="570B5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F158F"/>
    <w:pPr>
      <w:widowControl w:val="0"/>
      <w:jc w:val="both"/>
    </w:pPr>
    <w:rPr>
      <w:kern w:val="2"/>
      <w:sz w:val="21"/>
      <w:szCs w:val="22"/>
    </w:rPr>
  </w:style>
  <w:style w:type="paragraph" w:styleId="1">
    <w:name w:val="heading 1"/>
    <w:basedOn w:val="a5"/>
    <w:next w:val="a5"/>
    <w:link w:val="1Char"/>
    <w:uiPriority w:val="9"/>
    <w:qFormat/>
    <w:rsid w:val="00DF158F"/>
    <w:pPr>
      <w:keepNext/>
      <w:keepLines/>
      <w:spacing w:before="340" w:after="330" w:line="578" w:lineRule="auto"/>
      <w:outlineLvl w:val="0"/>
    </w:pPr>
    <w:rPr>
      <w:rFonts w:eastAsia="黑体"/>
      <w:b/>
      <w:bCs/>
      <w:kern w:val="44"/>
      <w:sz w:val="28"/>
      <w:szCs w:val="44"/>
    </w:rPr>
  </w:style>
  <w:style w:type="paragraph" w:styleId="2">
    <w:name w:val="heading 2"/>
    <w:basedOn w:val="a5"/>
    <w:next w:val="a5"/>
    <w:link w:val="2Char"/>
    <w:uiPriority w:val="9"/>
    <w:unhideWhenUsed/>
    <w:qFormat/>
    <w:rsid w:val="00DF158F"/>
    <w:pPr>
      <w:keepNext/>
      <w:keepLines/>
      <w:spacing w:before="260" w:after="260" w:line="416" w:lineRule="auto"/>
      <w:outlineLvl w:val="1"/>
    </w:pPr>
    <w:rPr>
      <w:rFonts w:asciiTheme="majorHAnsi" w:eastAsia="黑体" w:hAnsiTheme="majorHAnsi" w:cstheme="majorBidi"/>
      <w:b/>
      <w:bCs/>
      <w:sz w:val="24"/>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qFormat/>
    <w:rsid w:val="00DF158F"/>
    <w:pPr>
      <w:jc w:val="left"/>
    </w:pPr>
    <w:rPr>
      <w:rFonts w:ascii="Times New Roman" w:eastAsia="宋体" w:hAnsi="Times New Roman" w:cs="Times New Roman"/>
      <w:szCs w:val="24"/>
    </w:rPr>
  </w:style>
  <w:style w:type="paragraph" w:styleId="aa">
    <w:name w:val="Balloon Text"/>
    <w:basedOn w:val="a5"/>
    <w:link w:val="Char0"/>
    <w:uiPriority w:val="99"/>
    <w:semiHidden/>
    <w:unhideWhenUsed/>
    <w:qFormat/>
    <w:rsid w:val="00DF158F"/>
    <w:rPr>
      <w:sz w:val="18"/>
      <w:szCs w:val="18"/>
    </w:rPr>
  </w:style>
  <w:style w:type="paragraph" w:styleId="ab">
    <w:name w:val="footer"/>
    <w:basedOn w:val="a5"/>
    <w:link w:val="Char1"/>
    <w:uiPriority w:val="99"/>
    <w:unhideWhenUsed/>
    <w:qFormat/>
    <w:rsid w:val="00DF158F"/>
    <w:pPr>
      <w:tabs>
        <w:tab w:val="center" w:pos="4153"/>
        <w:tab w:val="right" w:pos="8306"/>
      </w:tabs>
      <w:snapToGrid w:val="0"/>
      <w:jc w:val="left"/>
    </w:pPr>
    <w:rPr>
      <w:sz w:val="18"/>
      <w:szCs w:val="18"/>
    </w:rPr>
  </w:style>
  <w:style w:type="paragraph" w:styleId="ac">
    <w:name w:val="header"/>
    <w:basedOn w:val="a5"/>
    <w:link w:val="Char2"/>
    <w:uiPriority w:val="99"/>
    <w:unhideWhenUsed/>
    <w:qFormat/>
    <w:rsid w:val="00DF158F"/>
    <w:pPr>
      <w:pBdr>
        <w:bottom w:val="single" w:sz="6" w:space="1" w:color="auto"/>
      </w:pBdr>
      <w:tabs>
        <w:tab w:val="center" w:pos="4153"/>
        <w:tab w:val="right" w:pos="8306"/>
      </w:tabs>
      <w:snapToGrid w:val="0"/>
      <w:jc w:val="center"/>
    </w:pPr>
    <w:rPr>
      <w:sz w:val="18"/>
      <w:szCs w:val="18"/>
    </w:rPr>
  </w:style>
  <w:style w:type="paragraph" w:styleId="a4">
    <w:name w:val="footnote text"/>
    <w:basedOn w:val="a5"/>
    <w:link w:val="Char3"/>
    <w:qFormat/>
    <w:rsid w:val="00DF158F"/>
    <w:pPr>
      <w:numPr>
        <w:numId w:val="1"/>
      </w:numPr>
      <w:snapToGrid w:val="0"/>
      <w:jc w:val="left"/>
    </w:pPr>
    <w:rPr>
      <w:rFonts w:ascii="宋体" w:eastAsia="宋体" w:hAnsi="Times New Roman" w:cs="Times New Roman"/>
      <w:sz w:val="18"/>
      <w:szCs w:val="18"/>
    </w:rPr>
  </w:style>
  <w:style w:type="paragraph" w:styleId="ad">
    <w:name w:val="Normal (Web)"/>
    <w:basedOn w:val="a5"/>
    <w:uiPriority w:val="99"/>
    <w:semiHidden/>
    <w:unhideWhenUsed/>
    <w:qFormat/>
    <w:rsid w:val="00DF158F"/>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7"/>
    <w:qFormat/>
    <w:rsid w:val="00DF1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6"/>
    <w:uiPriority w:val="99"/>
    <w:semiHidden/>
    <w:unhideWhenUsed/>
    <w:qFormat/>
    <w:rsid w:val="00DF158F"/>
    <w:rPr>
      <w:color w:val="0000FF"/>
      <w:u w:val="single"/>
    </w:rPr>
  </w:style>
  <w:style w:type="character" w:customStyle="1" w:styleId="1Char">
    <w:name w:val="标题 1 Char"/>
    <w:basedOn w:val="a6"/>
    <w:link w:val="1"/>
    <w:uiPriority w:val="9"/>
    <w:qFormat/>
    <w:rsid w:val="00DF158F"/>
    <w:rPr>
      <w:rFonts w:eastAsia="黑体"/>
      <w:b/>
      <w:bCs/>
      <w:kern w:val="44"/>
      <w:sz w:val="28"/>
      <w:szCs w:val="44"/>
    </w:rPr>
  </w:style>
  <w:style w:type="character" w:customStyle="1" w:styleId="2Char">
    <w:name w:val="标题 2 Char"/>
    <w:basedOn w:val="a6"/>
    <w:link w:val="2"/>
    <w:uiPriority w:val="9"/>
    <w:qFormat/>
    <w:rsid w:val="00DF158F"/>
    <w:rPr>
      <w:rFonts w:asciiTheme="majorHAnsi" w:eastAsia="黑体" w:hAnsiTheme="majorHAnsi" w:cstheme="majorBidi"/>
      <w:b/>
      <w:bCs/>
      <w:sz w:val="24"/>
      <w:szCs w:val="32"/>
    </w:rPr>
  </w:style>
  <w:style w:type="character" w:customStyle="1" w:styleId="Char2">
    <w:name w:val="页眉 Char"/>
    <w:basedOn w:val="a6"/>
    <w:link w:val="ac"/>
    <w:uiPriority w:val="99"/>
    <w:qFormat/>
    <w:rsid w:val="00DF158F"/>
    <w:rPr>
      <w:sz w:val="18"/>
      <w:szCs w:val="18"/>
    </w:rPr>
  </w:style>
  <w:style w:type="character" w:customStyle="1" w:styleId="Char1">
    <w:name w:val="页脚 Char"/>
    <w:basedOn w:val="a6"/>
    <w:link w:val="ab"/>
    <w:uiPriority w:val="99"/>
    <w:qFormat/>
    <w:rsid w:val="00DF158F"/>
    <w:rPr>
      <w:sz w:val="18"/>
      <w:szCs w:val="18"/>
    </w:rPr>
  </w:style>
  <w:style w:type="paragraph" w:customStyle="1" w:styleId="af0">
    <w:name w:val="段"/>
    <w:link w:val="Char4"/>
    <w:qFormat/>
    <w:rsid w:val="00DF158F"/>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6"/>
    <w:link w:val="af0"/>
    <w:qFormat/>
    <w:rsid w:val="00DF158F"/>
    <w:rPr>
      <w:rFonts w:ascii="宋体" w:eastAsia="宋体" w:hAnsi="Times New Roman" w:cs="Times New Roman"/>
      <w:kern w:val="0"/>
      <w:szCs w:val="20"/>
    </w:rPr>
  </w:style>
  <w:style w:type="paragraph" w:styleId="af1">
    <w:name w:val="List Paragraph"/>
    <w:basedOn w:val="a5"/>
    <w:uiPriority w:val="34"/>
    <w:qFormat/>
    <w:rsid w:val="00DF158F"/>
    <w:pPr>
      <w:ind w:firstLineChars="200" w:firstLine="420"/>
    </w:pPr>
  </w:style>
  <w:style w:type="character" w:customStyle="1" w:styleId="Char0">
    <w:name w:val="批注框文本 Char"/>
    <w:basedOn w:val="a6"/>
    <w:link w:val="aa"/>
    <w:uiPriority w:val="99"/>
    <w:semiHidden/>
    <w:qFormat/>
    <w:rsid w:val="00DF158F"/>
    <w:rPr>
      <w:sz w:val="18"/>
      <w:szCs w:val="18"/>
    </w:rPr>
  </w:style>
  <w:style w:type="paragraph" w:customStyle="1" w:styleId="CharCharCharCharCharChar">
    <w:name w:val="Char Char Char Char Char Char"/>
    <w:basedOn w:val="a5"/>
    <w:qFormat/>
    <w:rsid w:val="00DF158F"/>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批注文字 Char"/>
    <w:basedOn w:val="a6"/>
    <w:link w:val="a9"/>
    <w:qFormat/>
    <w:rsid w:val="00DF158F"/>
    <w:rPr>
      <w:rFonts w:ascii="Times New Roman" w:eastAsia="宋体" w:hAnsi="Times New Roman" w:cs="Times New Roman"/>
      <w:szCs w:val="24"/>
    </w:rPr>
  </w:style>
  <w:style w:type="paragraph" w:customStyle="1" w:styleId="Char1CharCharChar">
    <w:name w:val="Char1 Char Char Char"/>
    <w:basedOn w:val="a5"/>
    <w:qFormat/>
    <w:rsid w:val="00DF158F"/>
    <w:rPr>
      <w:rFonts w:ascii="Tahoma" w:eastAsia="宋体" w:hAnsi="Tahoma" w:cs="Times New Roman"/>
      <w:sz w:val="24"/>
      <w:szCs w:val="20"/>
    </w:rPr>
  </w:style>
  <w:style w:type="paragraph" w:customStyle="1" w:styleId="a0">
    <w:name w:val="一级条标题"/>
    <w:next w:val="af0"/>
    <w:qFormat/>
    <w:rsid w:val="00DF158F"/>
    <w:pPr>
      <w:numPr>
        <w:ilvl w:val="1"/>
        <w:numId w:val="2"/>
      </w:numPr>
      <w:spacing w:beforeLines="50" w:afterLines="50"/>
      <w:outlineLvl w:val="2"/>
    </w:pPr>
    <w:rPr>
      <w:rFonts w:ascii="黑体" w:eastAsia="黑体" w:hAnsi="Times New Roman" w:cs="Times New Roman"/>
      <w:sz w:val="21"/>
      <w:szCs w:val="21"/>
    </w:rPr>
  </w:style>
  <w:style w:type="paragraph" w:customStyle="1" w:styleId="a">
    <w:name w:val="章标题"/>
    <w:next w:val="af0"/>
    <w:qFormat/>
    <w:rsid w:val="00DF158F"/>
    <w:pPr>
      <w:numPr>
        <w:numId w:val="2"/>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0"/>
    <w:qFormat/>
    <w:rsid w:val="00DF158F"/>
    <w:pPr>
      <w:numPr>
        <w:ilvl w:val="2"/>
      </w:numPr>
      <w:spacing w:before="50" w:after="50"/>
      <w:outlineLvl w:val="3"/>
    </w:pPr>
  </w:style>
  <w:style w:type="paragraph" w:customStyle="1" w:styleId="a2">
    <w:name w:val="四级条标题"/>
    <w:basedOn w:val="a5"/>
    <w:next w:val="af0"/>
    <w:qFormat/>
    <w:rsid w:val="00DF158F"/>
    <w:pPr>
      <w:widowControl/>
      <w:numPr>
        <w:ilvl w:val="4"/>
        <w:numId w:val="2"/>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f0"/>
    <w:qFormat/>
    <w:rsid w:val="00DF158F"/>
    <w:pPr>
      <w:numPr>
        <w:ilvl w:val="5"/>
      </w:numPr>
      <w:outlineLvl w:val="6"/>
    </w:pPr>
  </w:style>
  <w:style w:type="character" w:customStyle="1" w:styleId="Char3">
    <w:name w:val="脚注文本 Char"/>
    <w:basedOn w:val="a6"/>
    <w:link w:val="a4"/>
    <w:qFormat/>
    <w:rsid w:val="00DF158F"/>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19BC7-A2F9-410C-B780-C4AAD7B6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张晋</dc:creator>
  <cp:lastModifiedBy>ice</cp:lastModifiedBy>
  <cp:revision>25</cp:revision>
  <cp:lastPrinted>2020-01-06T08:41:00Z</cp:lastPrinted>
  <dcterms:created xsi:type="dcterms:W3CDTF">2020-06-14T14:53:00Z</dcterms:created>
  <dcterms:modified xsi:type="dcterms:W3CDTF">2020-08-04T02:40:00Z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